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3260C4B5" w:rsidR="007B3D90" w:rsidRPr="004F0907" w:rsidRDefault="00752534" w:rsidP="007B3D90">
      <w:pPr>
        <w:pStyle w:val="CRCoverPage"/>
        <w:tabs>
          <w:tab w:val="right" w:pos="9639"/>
        </w:tabs>
        <w:spacing w:after="0"/>
        <w:rPr>
          <w:b/>
          <w:i/>
          <w:noProof/>
          <w:sz w:val="28"/>
          <w:lang w:val="en-US"/>
        </w:rPr>
      </w:pPr>
      <w:bookmarkStart w:id="0" w:name="_GoBack"/>
      <w:bookmarkEnd w:id="0"/>
      <w:r>
        <w:rPr>
          <w:b/>
          <w:noProof/>
          <w:sz w:val="24"/>
        </w:rPr>
        <w:t>3GPP TSG-RAN WG4 Meeting #90</w:t>
      </w:r>
      <w:r w:rsidR="00A37FAB">
        <w:rPr>
          <w:b/>
          <w:noProof/>
          <w:sz w:val="24"/>
        </w:rPr>
        <w:t>bis</w:t>
      </w:r>
      <w:r w:rsidR="007B3D90">
        <w:rPr>
          <w:b/>
          <w:i/>
          <w:noProof/>
          <w:sz w:val="24"/>
        </w:rPr>
        <w:t xml:space="preserve"> </w:t>
      </w:r>
      <w:r w:rsidR="007B3D90">
        <w:rPr>
          <w:b/>
          <w:i/>
          <w:noProof/>
          <w:sz w:val="28"/>
        </w:rPr>
        <w:tab/>
      </w:r>
      <w:r w:rsidR="007E290A" w:rsidRPr="007E290A">
        <w:rPr>
          <w:b/>
          <w:i/>
          <w:noProof/>
          <w:sz w:val="28"/>
        </w:rPr>
        <w:t>R4-1902868</w:t>
      </w:r>
    </w:p>
    <w:p w14:paraId="2FAB4793" w14:textId="5CCD9C07" w:rsidR="007B3D90" w:rsidRDefault="00A37FAB" w:rsidP="007B3D90">
      <w:pPr>
        <w:tabs>
          <w:tab w:val="left" w:pos="1985"/>
        </w:tabs>
        <w:rPr>
          <w:rFonts w:ascii="Arial" w:hAnsi="Arial" w:cs="Arial"/>
          <w:b/>
          <w:noProof/>
          <w:sz w:val="24"/>
        </w:rPr>
      </w:pPr>
      <w:r>
        <w:rPr>
          <w:rFonts w:ascii="Arial" w:hAnsi="Arial" w:cs="Arial"/>
          <w:b/>
          <w:noProof/>
          <w:sz w:val="24"/>
        </w:rPr>
        <w:t>Xi’an</w:t>
      </w:r>
      <w:r w:rsidR="007B3D90" w:rsidRPr="00706FBB">
        <w:rPr>
          <w:rFonts w:ascii="Arial" w:hAnsi="Arial" w:cs="Arial"/>
          <w:b/>
          <w:noProof/>
          <w:sz w:val="24"/>
        </w:rPr>
        <w:t xml:space="preserve">, </w:t>
      </w:r>
      <w:r>
        <w:rPr>
          <w:rFonts w:ascii="Arial" w:hAnsi="Arial" w:cs="Arial"/>
          <w:b/>
          <w:noProof/>
          <w:sz w:val="24"/>
        </w:rPr>
        <w:t>China</w:t>
      </w:r>
      <w:r w:rsidR="007B3D90">
        <w:rPr>
          <w:rFonts w:ascii="Arial" w:hAnsi="Arial" w:cs="Arial"/>
          <w:b/>
          <w:noProof/>
          <w:sz w:val="24"/>
        </w:rPr>
        <w:t xml:space="preserve">, </w:t>
      </w:r>
      <w:r>
        <w:rPr>
          <w:rFonts w:ascii="Arial" w:hAnsi="Arial" w:cs="Arial"/>
          <w:b/>
          <w:noProof/>
          <w:sz w:val="24"/>
        </w:rPr>
        <w:t>8</w:t>
      </w:r>
      <w:r w:rsidR="007B3D90">
        <w:rPr>
          <w:rFonts w:ascii="Arial" w:hAnsi="Arial" w:cs="Arial"/>
          <w:b/>
          <w:noProof/>
          <w:sz w:val="24"/>
        </w:rPr>
        <w:t xml:space="preserve"> – </w:t>
      </w:r>
      <w:r w:rsidR="00752534">
        <w:rPr>
          <w:rFonts w:ascii="Arial" w:hAnsi="Arial" w:cs="Arial"/>
          <w:b/>
          <w:noProof/>
          <w:sz w:val="24"/>
        </w:rPr>
        <w:t>1</w:t>
      </w:r>
      <w:r>
        <w:rPr>
          <w:rFonts w:ascii="Arial" w:hAnsi="Arial" w:cs="Arial"/>
          <w:b/>
          <w:noProof/>
          <w:sz w:val="24"/>
        </w:rPr>
        <w:t>2</w:t>
      </w:r>
      <w:r w:rsidR="00BC36D7" w:rsidRPr="00BC36D7">
        <w:rPr>
          <w:rFonts w:ascii="Arial" w:hAnsi="Arial" w:cs="Arial"/>
          <w:b/>
          <w:noProof/>
          <w:sz w:val="24"/>
        </w:rPr>
        <w:t xml:space="preserve"> </w:t>
      </w:r>
      <w:r w:rsidR="00BC36D7">
        <w:rPr>
          <w:rFonts w:ascii="Arial" w:hAnsi="Arial" w:cs="Arial"/>
          <w:b/>
          <w:noProof/>
          <w:sz w:val="24"/>
        </w:rPr>
        <w:t>Apr</w:t>
      </w:r>
      <w:r w:rsidR="00752534">
        <w:rPr>
          <w:rFonts w:ascii="Arial" w:hAnsi="Arial" w:cs="Arial"/>
          <w:b/>
          <w:noProof/>
          <w:sz w:val="24"/>
        </w:rPr>
        <w:t>, 2019</w:t>
      </w:r>
    </w:p>
    <w:p w14:paraId="566FFB9D" w14:textId="77777777" w:rsidR="00A71AC9" w:rsidRPr="00F23E24" w:rsidRDefault="00A71AC9" w:rsidP="007B3D90">
      <w:pPr>
        <w:tabs>
          <w:tab w:val="left" w:pos="1985"/>
        </w:tabs>
        <w:rPr>
          <w:rFonts w:ascii="Arial" w:hAnsi="Arial" w:cs="Arial"/>
          <w:b/>
          <w:noProof/>
          <w:sz w:val="24"/>
        </w:rPr>
      </w:pPr>
    </w:p>
    <w:p w14:paraId="1A53EEB8" w14:textId="72E566B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0474C0" w:rsidRPr="000644BA">
        <w:rPr>
          <w:rFonts w:ascii="Arial" w:hAnsi="Arial" w:cs="Arial"/>
          <w:b/>
          <w:sz w:val="24"/>
        </w:rPr>
        <w:t>8.3.2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544BC475"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8F291D" w:rsidRPr="008F291D">
        <w:rPr>
          <w:rFonts w:ascii="Arial" w:hAnsi="Arial" w:cs="Arial"/>
          <w:b/>
          <w:sz w:val="24"/>
        </w:rPr>
        <w:t xml:space="preserve">On </w:t>
      </w:r>
      <w:r w:rsidR="00F40C0B" w:rsidRPr="008F291D">
        <w:rPr>
          <w:rFonts w:ascii="Arial" w:hAnsi="Arial" w:cs="Arial"/>
          <w:b/>
          <w:sz w:val="24"/>
        </w:rPr>
        <w:t>feasibility</w:t>
      </w:r>
      <w:r w:rsidR="008F291D" w:rsidRPr="008F291D">
        <w:rPr>
          <w:rFonts w:ascii="Arial" w:hAnsi="Arial" w:cs="Arial"/>
          <w:b/>
          <w:sz w:val="24"/>
        </w:rPr>
        <w:t xml:space="preserve"> of enhanced handover in different scenario</w:t>
      </w:r>
      <w:r w:rsidR="008F291D">
        <w:rPr>
          <w:rFonts w:ascii="Arial" w:hAnsi="Arial" w:cs="Arial"/>
          <w:b/>
          <w:sz w:val="24"/>
        </w:rPr>
        <w:t>s</w:t>
      </w:r>
      <w:r w:rsidR="008F118D">
        <w:rPr>
          <w:rFonts w:ascii="Arial" w:hAnsi="Arial" w:cs="Arial"/>
          <w:b/>
          <w:sz w:val="24"/>
        </w:rPr>
        <w:t xml:space="preserve"> </w:t>
      </w:r>
    </w:p>
    <w:p w14:paraId="2A649F61" w14:textId="663D57C8" w:rsidR="00326FA4"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1C9FE713" w14:textId="0BDE09BB" w:rsidR="00603C90" w:rsidRDefault="008F291D" w:rsidP="005D2062">
      <w:pPr>
        <w:jc w:val="both"/>
        <w:rPr>
          <w:lang w:val="en-US" w:eastAsia="zh-CN"/>
        </w:rPr>
      </w:pPr>
      <w:r>
        <w:rPr>
          <w:lang w:val="en-US" w:eastAsia="zh-CN"/>
        </w:rPr>
        <w:t>In last RAN4 #90 meeting, a way forward was approved in [2] to capture the progress of feasibility study on enhanced handover in different scenarios. Since it was the first meeting in RAN4 for this work item, the progress is limit and the feasibility of enhanced handover for different scenarios need to be further investigated. In this contribution, analysis on this topic is provided based on the agreement in [2].</w:t>
      </w:r>
    </w:p>
    <w:p w14:paraId="4E2BBCBE" w14:textId="420E197D" w:rsidR="00FC5641" w:rsidRDefault="00387B6B" w:rsidP="00B85BD7">
      <w:pPr>
        <w:pStyle w:val="Heading1"/>
        <w:ind w:left="360"/>
        <w:rPr>
          <w:sz w:val="32"/>
        </w:rPr>
      </w:pPr>
      <w:r>
        <w:rPr>
          <w:sz w:val="32"/>
        </w:rPr>
        <w:t>Discussion</w:t>
      </w:r>
    </w:p>
    <w:p w14:paraId="3A8AE94F" w14:textId="77777777" w:rsidR="00F30DBF" w:rsidRDefault="00F30DBF" w:rsidP="008B10D4">
      <w:pPr>
        <w:pStyle w:val="Caption"/>
        <w:rPr>
          <w:b w:val="0"/>
          <w:sz w:val="20"/>
          <w:lang w:val="en-US"/>
        </w:rPr>
      </w:pPr>
      <w:r w:rsidRPr="00F30DBF">
        <w:rPr>
          <w:b w:val="0"/>
          <w:sz w:val="20"/>
          <w:lang w:val="en-US"/>
        </w:rPr>
        <w:t>So far</w:t>
      </w:r>
      <w:r>
        <w:rPr>
          <w:b w:val="0"/>
          <w:sz w:val="20"/>
          <w:lang w:val="en-US"/>
        </w:rPr>
        <w:t xml:space="preserve"> we have three solutions on table to reduce the interruption time during handover/SCG change, which are:</w:t>
      </w:r>
    </w:p>
    <w:p w14:paraId="6E468164" w14:textId="1A786678" w:rsidR="00F30DBF" w:rsidRPr="00752959" w:rsidRDefault="00F30DBF" w:rsidP="00F30DBF">
      <w:pPr>
        <w:pStyle w:val="B1"/>
        <w:numPr>
          <w:ilvl w:val="1"/>
          <w:numId w:val="16"/>
        </w:numPr>
        <w:spacing w:before="0" w:after="180"/>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r>
        <w:rPr>
          <w:lang w:eastAsia="ja-JP"/>
        </w:rPr>
        <w:t>(so called DC-based handover/SCG change)</w:t>
      </w:r>
    </w:p>
    <w:p w14:paraId="21DED231" w14:textId="77777777" w:rsidR="00F30DBF" w:rsidRDefault="00F30DBF" w:rsidP="00F30DBF">
      <w:pPr>
        <w:pStyle w:val="B1"/>
        <w:numPr>
          <w:ilvl w:val="1"/>
          <w:numId w:val="16"/>
        </w:numPr>
        <w:spacing w:before="0" w:after="180"/>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7C3254D3" w14:textId="77777777" w:rsidR="00F30DBF" w:rsidRPr="00752959" w:rsidRDefault="00F30DBF" w:rsidP="00F30DBF">
      <w:pPr>
        <w:pStyle w:val="B1"/>
        <w:numPr>
          <w:ilvl w:val="1"/>
          <w:numId w:val="16"/>
        </w:numPr>
        <w:spacing w:before="0" w:after="180"/>
        <w:rPr>
          <w:lang w:eastAsia="ja-JP"/>
        </w:rPr>
      </w:pPr>
      <w:r w:rsidRPr="00F14E58">
        <w:rPr>
          <w:rFonts w:cs="Calibri"/>
          <w:bCs/>
          <w:lang w:eastAsia="zh-CN"/>
        </w:rPr>
        <w:t xml:space="preserve">RACH-less handover </w:t>
      </w:r>
    </w:p>
    <w:p w14:paraId="169E918B" w14:textId="3F5D3CBC" w:rsidR="008B10D4" w:rsidRDefault="00F30DBF" w:rsidP="008B10D4">
      <w:pPr>
        <w:pStyle w:val="Caption"/>
        <w:rPr>
          <w:b w:val="0"/>
          <w:sz w:val="20"/>
          <w:lang w:val="en-US"/>
        </w:rPr>
      </w:pPr>
      <w:r>
        <w:rPr>
          <w:b w:val="0"/>
          <w:sz w:val="20"/>
          <w:lang w:val="en-US"/>
        </w:rPr>
        <w:t xml:space="preserve"> We will further discuss the feasibility for each solution from RRM perspective.</w:t>
      </w:r>
    </w:p>
    <w:p w14:paraId="76EFC8C4" w14:textId="70654989" w:rsidR="00F30DBF" w:rsidRDefault="004D71AF" w:rsidP="004D71AF">
      <w:pPr>
        <w:pStyle w:val="Heading2"/>
        <w:ind w:left="720"/>
        <w:rPr>
          <w:lang w:val="en-US"/>
        </w:rPr>
      </w:pPr>
      <w:r>
        <w:rPr>
          <w:lang w:val="en-US"/>
        </w:rPr>
        <w:t>DC-based handover/SCG change</w:t>
      </w:r>
    </w:p>
    <w:p w14:paraId="0FE8C8A0" w14:textId="0C06FAC4" w:rsidR="004D71AF" w:rsidRDefault="001E5989" w:rsidP="004D71AF">
      <w:pPr>
        <w:rPr>
          <w:lang w:eastAsia="ja-JP"/>
        </w:rPr>
      </w:pPr>
      <w:r>
        <w:rPr>
          <w:lang w:val="en-US" w:eastAsia="ja-JP" w:bidi="hi-IN"/>
        </w:rPr>
        <w:t xml:space="preserve">The first one is </w:t>
      </w:r>
      <w:r>
        <w:rPr>
          <w:lang w:val="en-US"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 In short we can call it DC-based handover/SCG change. Note that from RAN4 RRM perspective, the interruption time in SCG change is similar with that in handover procedure. Thus for convenience we only mention handover in this contribution.</w:t>
      </w:r>
    </w:p>
    <w:p w14:paraId="02CEE9A1" w14:textId="49073296" w:rsidR="001E5989" w:rsidRDefault="00EF61B3" w:rsidP="004D71AF">
      <w:pPr>
        <w:rPr>
          <w:lang w:eastAsia="ja-JP"/>
        </w:rPr>
      </w:pPr>
      <w:r>
        <w:rPr>
          <w:lang w:eastAsia="ja-JP"/>
        </w:rPr>
        <w:t>The agreement on DC-based handover in last RAN4 #90 was captured in [2]:</w:t>
      </w:r>
    </w:p>
    <w:tbl>
      <w:tblPr>
        <w:tblStyle w:val="TableGrid"/>
        <w:tblW w:w="0" w:type="auto"/>
        <w:tblLook w:val="04A0" w:firstRow="1" w:lastRow="0" w:firstColumn="1" w:lastColumn="0" w:noHBand="0" w:noVBand="1"/>
      </w:tblPr>
      <w:tblGrid>
        <w:gridCol w:w="9629"/>
      </w:tblGrid>
      <w:tr w:rsidR="00B3476B" w14:paraId="1256BDF6" w14:textId="77777777" w:rsidTr="00B3476B">
        <w:tc>
          <w:tcPr>
            <w:tcW w:w="9629" w:type="dxa"/>
          </w:tcPr>
          <w:p w14:paraId="727A652C" w14:textId="3E8930E6" w:rsidR="00B3476B" w:rsidRPr="00B3476B" w:rsidRDefault="00B3476B" w:rsidP="00B3476B">
            <w:pPr>
              <w:ind w:left="360"/>
              <w:rPr>
                <w:b/>
                <w:lang w:val="en-US" w:eastAsia="ja-JP" w:bidi="hi-IN"/>
              </w:rPr>
            </w:pPr>
            <w:r w:rsidRPr="00B3476B">
              <w:rPr>
                <w:b/>
                <w:lang w:eastAsia="ja-JP" w:bidi="hi-IN"/>
              </w:rPr>
              <w:t>Agreements on Handover/SCG change with simultaneous connectivity with source cell and target cell</w:t>
            </w:r>
          </w:p>
          <w:p w14:paraId="79DBFED3" w14:textId="77777777" w:rsidR="00F057DD" w:rsidRPr="00B3476B" w:rsidRDefault="00F057DD" w:rsidP="00B3476B">
            <w:pPr>
              <w:numPr>
                <w:ilvl w:val="0"/>
                <w:numId w:val="23"/>
              </w:numPr>
              <w:rPr>
                <w:lang w:val="en-US" w:eastAsia="ja-JP" w:bidi="hi-IN"/>
              </w:rPr>
            </w:pPr>
            <w:r w:rsidRPr="00B3476B">
              <w:rPr>
                <w:lang w:val="en-US" w:eastAsia="ja-JP" w:bidi="hi-IN"/>
              </w:rPr>
              <w:t>RAN4 to study the feasibility of simultaneous connectivity to both serving and target NR cells in different scenarios.</w:t>
            </w:r>
          </w:p>
          <w:p w14:paraId="07CBED1A" w14:textId="77777777" w:rsidR="00F057DD" w:rsidRPr="00B3476B" w:rsidRDefault="00F057DD" w:rsidP="00B3476B">
            <w:pPr>
              <w:numPr>
                <w:ilvl w:val="1"/>
                <w:numId w:val="23"/>
              </w:numPr>
              <w:rPr>
                <w:lang w:val="en-US" w:eastAsia="ja-JP" w:bidi="hi-IN"/>
              </w:rPr>
            </w:pPr>
            <w:r w:rsidRPr="00B3476B">
              <w:rPr>
                <w:lang w:val="en-US" w:eastAsia="ja-JP" w:bidi="hi-IN"/>
              </w:rPr>
              <w:t>the RAN4 response in LS (R4-1902030) in R16 LTE FeMobility WI can be used as starting point.</w:t>
            </w:r>
          </w:p>
          <w:p w14:paraId="3553A915" w14:textId="77777777" w:rsidR="00F057DD" w:rsidRPr="00B3476B" w:rsidRDefault="00F057DD" w:rsidP="00B3476B">
            <w:pPr>
              <w:numPr>
                <w:ilvl w:val="1"/>
                <w:numId w:val="23"/>
              </w:numPr>
              <w:rPr>
                <w:lang w:val="en-US" w:eastAsia="ja-JP" w:bidi="hi-IN"/>
              </w:rPr>
            </w:pPr>
            <w:r w:rsidRPr="00B3476B">
              <w:rPr>
                <w:lang w:val="en-US" w:eastAsia="ja-JP" w:bidi="hi-IN"/>
              </w:rPr>
              <w:t>On top of response in LS (R4-1902030) at least the following additional aspects shall be considered:</w:t>
            </w:r>
          </w:p>
          <w:p w14:paraId="658A4BAA" w14:textId="77777777" w:rsidR="00F057DD" w:rsidRPr="00B3476B" w:rsidRDefault="00F057DD" w:rsidP="00B3476B">
            <w:pPr>
              <w:numPr>
                <w:ilvl w:val="2"/>
                <w:numId w:val="23"/>
              </w:numPr>
              <w:rPr>
                <w:lang w:val="en-US" w:eastAsia="ja-JP" w:bidi="hi-IN"/>
              </w:rPr>
            </w:pPr>
            <w:r w:rsidRPr="00B3476B">
              <w:rPr>
                <w:lang w:val="en-US" w:eastAsia="ja-JP" w:bidi="hi-IN"/>
              </w:rPr>
              <w:t>Same or different SCS between the source and target cells.</w:t>
            </w:r>
          </w:p>
          <w:p w14:paraId="28C11531" w14:textId="2EEDC3B9" w:rsidR="00B3476B" w:rsidRPr="00B3476B" w:rsidRDefault="00F057DD" w:rsidP="004D71AF">
            <w:pPr>
              <w:numPr>
                <w:ilvl w:val="2"/>
                <w:numId w:val="23"/>
              </w:numPr>
              <w:rPr>
                <w:lang w:val="en-US" w:eastAsia="ja-JP" w:bidi="hi-IN"/>
              </w:rPr>
            </w:pPr>
            <w:r w:rsidRPr="00B3476B">
              <w:rPr>
                <w:lang w:val="en-US" w:eastAsia="ja-JP" w:bidi="hi-IN"/>
              </w:rPr>
              <w:t>Handover involving cell(s) in FR2, where Tx/Rx beamforming is used.</w:t>
            </w:r>
          </w:p>
        </w:tc>
      </w:tr>
    </w:tbl>
    <w:p w14:paraId="342C7A23" w14:textId="461AF78C" w:rsidR="00EF61B3" w:rsidRDefault="00372F7A" w:rsidP="004D71AF">
      <w:pPr>
        <w:rPr>
          <w:lang w:val="en-US" w:eastAsia="ja-JP" w:bidi="hi-IN"/>
        </w:rPr>
      </w:pPr>
      <w:r>
        <w:rPr>
          <w:lang w:val="en-US" w:eastAsia="ja-JP" w:bidi="hi-IN"/>
        </w:rPr>
        <w:t>Fortunately RAN4 had similar discussion before (in previous LTE work items on handover enhancement, and NR study phase as well). The latest response in RAN4 on DC-based handover can be found in [3]</w:t>
      </w:r>
      <w:r w:rsidR="00FF3D7B">
        <w:rPr>
          <w:lang w:val="en-US" w:eastAsia="ja-JP" w:bidi="hi-IN"/>
        </w:rPr>
        <w:t xml:space="preserve"> for LTE. It has been agreed that the replies in [3] can be used as starting point when we discussing DC-based handover in NR.</w:t>
      </w:r>
      <w:r w:rsidR="008C7A7D">
        <w:rPr>
          <w:lang w:val="en-US" w:eastAsia="ja-JP" w:bidi="hi-IN"/>
        </w:rPr>
        <w:t xml:space="preserve"> </w:t>
      </w:r>
      <w:r w:rsidR="00612250">
        <w:rPr>
          <w:lang w:val="en-US" w:eastAsia="ja-JP" w:bidi="hi-IN"/>
        </w:rPr>
        <w:t>However, since LTE and NR naturally has different design, we need to look further into the feasibility on top of agreement reached in LTE session, by taking into account the difference between LTE and NR.</w:t>
      </w:r>
    </w:p>
    <w:p w14:paraId="550D3F5D" w14:textId="77777777" w:rsidR="00E17F33" w:rsidRDefault="00EE7B15" w:rsidP="00400015">
      <w:r>
        <w:rPr>
          <w:lang w:val="en-US" w:eastAsia="ja-JP" w:bidi="hi-IN"/>
        </w:rPr>
        <w:t>One difference is that there are multiple SCS that can be supported in NR.</w:t>
      </w:r>
      <w:r w:rsidR="00400015" w:rsidRPr="00400015">
        <w:rPr>
          <w:lang w:eastAsia="zh-CN"/>
        </w:rPr>
        <w:t xml:space="preserve"> </w:t>
      </w:r>
      <w:r w:rsidR="00400015">
        <w:rPr>
          <w:lang w:eastAsia="zh-CN"/>
        </w:rPr>
        <w:t xml:space="preserve">For instance, in serving cells the SCS between SSB and PDCCH/PDSCH can be different. Besides, the SCS could also be different for different DL/UL in </w:t>
      </w:r>
      <w:r w:rsidR="00400015">
        <w:rPr>
          <w:lang w:eastAsia="zh-CN"/>
        </w:rPr>
        <w:lastRenderedPageBreak/>
        <w:t xml:space="preserve">CA, UL and SUL, and etc. Some of these scenarios are mandatory but some are optional, depending on UE capability. If the DC-based handover involving cells with different SCS, the situation becomes more complicated. </w:t>
      </w:r>
      <w:r w:rsidR="00400015">
        <w:t xml:space="preserve">An extreme example is handover from cell 1, with 15KHz SSB and 30KHz data, to cell 2, with 240KHz SSB and 120KHz data. For DC-based handover in this scenario, UE may need to perform simultaneous 1) measurement with 15KHz and data reception with 30KHz in FR1 and 2) measurement with 240KHz and data reception with 120KHz. </w:t>
      </w:r>
      <w:r w:rsidR="00A36A0E">
        <w:t>This operation requires high UE complexity (note that we have to consider some other factors e.g. beamforming, asynchronous or non-ideal synchronous deployment).</w:t>
      </w:r>
      <w:r w:rsidR="002A5BD1">
        <w:t xml:space="preserve"> Note that even if the UE is capable of </w:t>
      </w:r>
      <w:r w:rsidR="002A5BD1" w:rsidRPr="000855F2">
        <w:rPr>
          <w:i/>
          <w:lang w:eastAsia="zh-CN"/>
        </w:rPr>
        <w:t>simultaneousRxDataSSB-DiffNumerology</w:t>
      </w:r>
      <w:r w:rsidR="002A5BD1">
        <w:t>, it doesn’t mean it can support reception with multiple SCS simultaneously in different cells.</w:t>
      </w:r>
      <w:r w:rsidR="000D1A65">
        <w:t xml:space="preserve"> </w:t>
      </w:r>
    </w:p>
    <w:p w14:paraId="7F965129" w14:textId="766A655B" w:rsidR="00E17F33" w:rsidRPr="00E758A3" w:rsidRDefault="00F75F9D" w:rsidP="00F75F9D">
      <w:pPr>
        <w:pStyle w:val="Caption"/>
        <w:rPr>
          <w:sz w:val="22"/>
          <w:szCs w:val="22"/>
        </w:rPr>
      </w:pPr>
      <w:bookmarkStart w:id="3" w:name="_Ref4697218"/>
      <w:r w:rsidRPr="00E758A3">
        <w:rPr>
          <w:sz w:val="22"/>
          <w:szCs w:val="22"/>
        </w:rPr>
        <w:t xml:space="preserve">Observation </w:t>
      </w:r>
      <w:r w:rsidRPr="00E758A3">
        <w:rPr>
          <w:sz w:val="22"/>
          <w:szCs w:val="22"/>
        </w:rPr>
        <w:fldChar w:fldCharType="begin"/>
      </w:r>
      <w:r w:rsidRPr="00E758A3">
        <w:rPr>
          <w:sz w:val="22"/>
          <w:szCs w:val="22"/>
        </w:rPr>
        <w:instrText xml:space="preserve"> SEQ Observation \* ARABIC </w:instrText>
      </w:r>
      <w:r w:rsidRPr="00E758A3">
        <w:rPr>
          <w:sz w:val="22"/>
          <w:szCs w:val="22"/>
        </w:rPr>
        <w:fldChar w:fldCharType="separate"/>
      </w:r>
      <w:r w:rsidR="0093691A">
        <w:rPr>
          <w:noProof/>
          <w:sz w:val="22"/>
          <w:szCs w:val="22"/>
        </w:rPr>
        <w:t>1</w:t>
      </w:r>
      <w:r w:rsidRPr="00E758A3">
        <w:rPr>
          <w:sz w:val="22"/>
          <w:szCs w:val="22"/>
        </w:rPr>
        <w:fldChar w:fldCharType="end"/>
      </w:r>
      <w:r w:rsidRPr="00E758A3">
        <w:rPr>
          <w:sz w:val="22"/>
          <w:szCs w:val="22"/>
        </w:rPr>
        <w:t xml:space="preserve">: </w:t>
      </w:r>
      <w:r w:rsidR="003462A5">
        <w:rPr>
          <w:sz w:val="22"/>
          <w:szCs w:val="22"/>
        </w:rPr>
        <w:t>extra</w:t>
      </w:r>
      <w:r w:rsidR="000F6579" w:rsidRPr="00E758A3">
        <w:rPr>
          <w:sz w:val="22"/>
          <w:szCs w:val="22"/>
        </w:rPr>
        <w:t xml:space="preserve"> UE complexity is expected to support simultaneous reception with multiple SCS in multiple cells.</w:t>
      </w:r>
      <w:bookmarkEnd w:id="3"/>
    </w:p>
    <w:p w14:paraId="3DD52FD9" w14:textId="6AE5D9A7" w:rsidR="00C8503A" w:rsidRDefault="00C8503A" w:rsidP="00C8503A">
      <w:pPr>
        <w:rPr>
          <w:lang w:eastAsia="zh-CN"/>
        </w:rPr>
      </w:pPr>
      <w:r>
        <w:rPr>
          <w:lang w:eastAsia="zh-CN"/>
        </w:rPr>
        <w:t xml:space="preserve">However, from feasibility point of view, we believe this operation is still possible with certain conditions. For instance, if a UE which support NR-DC in corresponding band combination (where the source cell and target cell are located) indicates that it can support </w:t>
      </w:r>
      <w:r w:rsidRPr="000855F2">
        <w:rPr>
          <w:i/>
          <w:lang w:eastAsia="zh-CN"/>
        </w:rPr>
        <w:t>simultaneousRxDataSSB-DiffNumerology</w:t>
      </w:r>
      <w:r>
        <w:rPr>
          <w:lang w:eastAsia="zh-CN"/>
        </w:rPr>
        <w:t xml:space="preserve">, then there should not be any problem for the UE to receive downlink with multiple SCS </w:t>
      </w:r>
      <w:r w:rsidR="00C64BBD">
        <w:rPr>
          <w:lang w:eastAsia="zh-CN"/>
        </w:rPr>
        <w:t>from</w:t>
      </w:r>
      <w:r>
        <w:rPr>
          <w:lang w:eastAsia="zh-CN"/>
        </w:rPr>
        <w:t xml:space="preserve"> the source and target cell</w:t>
      </w:r>
      <w:r w:rsidR="00C64BBD">
        <w:rPr>
          <w:lang w:eastAsia="zh-CN"/>
        </w:rPr>
        <w:t>s</w:t>
      </w:r>
      <w:r>
        <w:rPr>
          <w:lang w:eastAsia="zh-CN"/>
        </w:rPr>
        <w:t xml:space="preserve">. </w:t>
      </w:r>
    </w:p>
    <w:p w14:paraId="1DBB8C36" w14:textId="3CC79C4B" w:rsidR="00C64BBD" w:rsidRPr="00E758A3" w:rsidRDefault="00C64BBD" w:rsidP="00C64BBD">
      <w:pPr>
        <w:pStyle w:val="Caption"/>
        <w:rPr>
          <w:sz w:val="22"/>
          <w:szCs w:val="22"/>
        </w:rPr>
      </w:pPr>
      <w:bookmarkStart w:id="4" w:name="_Ref4697221"/>
      <w:r w:rsidRPr="00E758A3">
        <w:rPr>
          <w:sz w:val="22"/>
          <w:szCs w:val="22"/>
        </w:rPr>
        <w:t xml:space="preserve">Observation </w:t>
      </w:r>
      <w:r w:rsidRPr="00E758A3">
        <w:rPr>
          <w:sz w:val="22"/>
          <w:szCs w:val="22"/>
        </w:rPr>
        <w:fldChar w:fldCharType="begin"/>
      </w:r>
      <w:r w:rsidRPr="00E758A3">
        <w:rPr>
          <w:sz w:val="22"/>
          <w:szCs w:val="22"/>
        </w:rPr>
        <w:instrText xml:space="preserve"> SEQ Observation \* ARABIC </w:instrText>
      </w:r>
      <w:r w:rsidRPr="00E758A3">
        <w:rPr>
          <w:sz w:val="22"/>
          <w:szCs w:val="22"/>
        </w:rPr>
        <w:fldChar w:fldCharType="separate"/>
      </w:r>
      <w:r w:rsidR="0093691A">
        <w:rPr>
          <w:noProof/>
          <w:sz w:val="22"/>
          <w:szCs w:val="22"/>
        </w:rPr>
        <w:t>2</w:t>
      </w:r>
      <w:r w:rsidRPr="00E758A3">
        <w:rPr>
          <w:sz w:val="22"/>
          <w:szCs w:val="22"/>
        </w:rPr>
        <w:fldChar w:fldCharType="end"/>
      </w:r>
      <w:r w:rsidRPr="00E758A3">
        <w:rPr>
          <w:sz w:val="22"/>
          <w:szCs w:val="22"/>
        </w:rPr>
        <w:t xml:space="preserve">: </w:t>
      </w:r>
      <w:r w:rsidR="00FB036E" w:rsidRPr="00E758A3">
        <w:rPr>
          <w:sz w:val="22"/>
          <w:szCs w:val="22"/>
        </w:rPr>
        <w:t>DC-based handover involving cells with different SCS is feasible, depending on UE capability of supporting different SCS.</w:t>
      </w:r>
      <w:bookmarkEnd w:id="4"/>
    </w:p>
    <w:p w14:paraId="6C30AEC8" w14:textId="77777777" w:rsidR="00314A3E" w:rsidRDefault="00E31C19" w:rsidP="00400015">
      <w:pPr>
        <w:rPr>
          <w:lang w:eastAsia="zh-CN"/>
        </w:rPr>
      </w:pPr>
      <w:r>
        <w:t xml:space="preserve">As mentioned above </w:t>
      </w:r>
      <w:r w:rsidRPr="000855F2">
        <w:rPr>
          <w:i/>
          <w:lang w:eastAsia="zh-CN"/>
        </w:rPr>
        <w:t>simultaneousRxDataSSB-DiffNumerology</w:t>
      </w:r>
      <w:r>
        <w:t xml:space="preserve"> cannot be used to indicate the support of DC-based handover with different SCS involved. </w:t>
      </w:r>
      <w:r w:rsidR="000D1A65">
        <w:t xml:space="preserve">Besides </w:t>
      </w:r>
      <w:r w:rsidR="000D1A65" w:rsidRPr="000855F2">
        <w:rPr>
          <w:i/>
          <w:lang w:eastAsia="zh-CN"/>
        </w:rPr>
        <w:t>simultaneousRxDataSSB-DiffNumerology</w:t>
      </w:r>
      <w:r w:rsidR="000D1A65">
        <w:t>, there are several other IEs that are used to indicate if UE can support different SCS e.g. in different BWP, or across different CCs etc. But all of these</w:t>
      </w:r>
      <w:r w:rsidR="00241915">
        <w:t xml:space="preserve"> IEs</w:t>
      </w:r>
      <w:r w:rsidR="000D1A65">
        <w:t xml:space="preserve"> are designed for serving cell</w:t>
      </w:r>
      <w:r w:rsidR="000C61CC">
        <w:t>(s)</w:t>
      </w:r>
      <w:r w:rsidR="000D1A65">
        <w:t xml:space="preserve"> only.</w:t>
      </w:r>
      <w:r w:rsidR="00241915">
        <w:t xml:space="preserve"> </w:t>
      </w:r>
      <w:r>
        <w:rPr>
          <w:lang w:eastAsia="zh-CN"/>
        </w:rPr>
        <w:t>T</w:t>
      </w:r>
      <w:r>
        <w:rPr>
          <w:rFonts w:hint="eastAsia"/>
          <w:lang w:eastAsia="zh-CN"/>
        </w:rPr>
        <w:t>here</w:t>
      </w:r>
      <w:r>
        <w:rPr>
          <w:lang w:eastAsia="zh-CN"/>
        </w:rPr>
        <w:t>fore, new signalling may need to be introduced to support</w:t>
      </w:r>
      <w:r w:rsidR="0037069A">
        <w:rPr>
          <w:lang w:eastAsia="zh-CN"/>
        </w:rPr>
        <w:t xml:space="preserve"> DC-based handover involving different SCS.</w:t>
      </w:r>
    </w:p>
    <w:p w14:paraId="556772C2" w14:textId="593BB9F8" w:rsidR="00314A3E" w:rsidRDefault="00314A3E" w:rsidP="00400015">
      <w:pPr>
        <w:rPr>
          <w:lang w:eastAsia="zh-CN"/>
        </w:rPr>
      </w:pPr>
      <w:r>
        <w:rPr>
          <w:lang w:eastAsia="zh-CN"/>
        </w:rPr>
        <w:t xml:space="preserve">One thing needs to be highlighted is that the above discussion is based on the assumption that UE can support DC-based handover with same SCS on corresponding bands. As discussed previously in LTE handover enhancement, capability for DC-based handover may be band dependent. </w:t>
      </w:r>
      <w:r w:rsidR="009D27C7">
        <w:rPr>
          <w:lang w:eastAsia="zh-CN"/>
        </w:rPr>
        <w:t>Therefore the</w:t>
      </w:r>
    </w:p>
    <w:p w14:paraId="0A3B74C0" w14:textId="3D0B3CF9" w:rsidR="00400015" w:rsidRPr="00E758A3" w:rsidRDefault="00314A3E" w:rsidP="00314A3E">
      <w:pPr>
        <w:pStyle w:val="Caption"/>
        <w:rPr>
          <w:sz w:val="22"/>
          <w:szCs w:val="22"/>
        </w:rPr>
      </w:pPr>
      <w:bookmarkStart w:id="5" w:name="_Ref4697224"/>
      <w:r w:rsidRPr="00E758A3">
        <w:rPr>
          <w:sz w:val="22"/>
          <w:szCs w:val="22"/>
        </w:rPr>
        <w:t xml:space="preserve">Observation </w:t>
      </w:r>
      <w:r w:rsidRPr="00E758A3">
        <w:rPr>
          <w:sz w:val="22"/>
          <w:szCs w:val="22"/>
        </w:rPr>
        <w:fldChar w:fldCharType="begin"/>
      </w:r>
      <w:r w:rsidRPr="00E758A3">
        <w:rPr>
          <w:sz w:val="22"/>
          <w:szCs w:val="22"/>
        </w:rPr>
        <w:instrText xml:space="preserve"> SEQ Observation \* ARABIC </w:instrText>
      </w:r>
      <w:r w:rsidRPr="00E758A3">
        <w:rPr>
          <w:sz w:val="22"/>
          <w:szCs w:val="22"/>
        </w:rPr>
        <w:fldChar w:fldCharType="separate"/>
      </w:r>
      <w:r w:rsidR="0093691A">
        <w:rPr>
          <w:noProof/>
          <w:sz w:val="22"/>
          <w:szCs w:val="22"/>
        </w:rPr>
        <w:t>3</w:t>
      </w:r>
      <w:r w:rsidRPr="00E758A3">
        <w:rPr>
          <w:sz w:val="22"/>
          <w:szCs w:val="22"/>
        </w:rPr>
        <w:fldChar w:fldCharType="end"/>
      </w:r>
      <w:r w:rsidRPr="00E758A3">
        <w:rPr>
          <w:sz w:val="22"/>
          <w:szCs w:val="22"/>
        </w:rPr>
        <w:t xml:space="preserve">: </w:t>
      </w:r>
      <w:r w:rsidR="009D27C7" w:rsidRPr="00E758A3">
        <w:rPr>
          <w:sz w:val="22"/>
          <w:szCs w:val="22"/>
        </w:rPr>
        <w:t>current UE capability of supporting multiple SCS cannot be reused to indicate the support of DC-based handover that involves different SCS in source and target cells.</w:t>
      </w:r>
      <w:bookmarkEnd w:id="5"/>
      <w:r w:rsidR="00241915" w:rsidRPr="00E758A3">
        <w:rPr>
          <w:sz w:val="22"/>
          <w:szCs w:val="22"/>
        </w:rPr>
        <w:t xml:space="preserve"> </w:t>
      </w:r>
    </w:p>
    <w:p w14:paraId="139788E2" w14:textId="072D0E57" w:rsidR="00612250" w:rsidRPr="00E758A3" w:rsidRDefault="001D7F56" w:rsidP="001D7F56">
      <w:pPr>
        <w:pStyle w:val="Caption"/>
        <w:rPr>
          <w:sz w:val="22"/>
          <w:szCs w:val="22"/>
          <w:lang w:eastAsia="zh-CN"/>
        </w:rPr>
      </w:pPr>
      <w:bookmarkStart w:id="6" w:name="_Ref4697229"/>
      <w:r w:rsidRPr="00E758A3">
        <w:rPr>
          <w:sz w:val="22"/>
          <w:szCs w:val="22"/>
        </w:rPr>
        <w:t xml:space="preserve">Proposal </w:t>
      </w:r>
      <w:r w:rsidRPr="00E758A3">
        <w:rPr>
          <w:sz w:val="22"/>
          <w:szCs w:val="22"/>
        </w:rPr>
        <w:fldChar w:fldCharType="begin"/>
      </w:r>
      <w:r w:rsidRPr="00E758A3">
        <w:rPr>
          <w:sz w:val="22"/>
          <w:szCs w:val="22"/>
        </w:rPr>
        <w:instrText xml:space="preserve"> SEQ Proposal \* ARABIC </w:instrText>
      </w:r>
      <w:r w:rsidRPr="00E758A3">
        <w:rPr>
          <w:sz w:val="22"/>
          <w:szCs w:val="22"/>
        </w:rPr>
        <w:fldChar w:fldCharType="separate"/>
      </w:r>
      <w:r w:rsidR="0027383A">
        <w:rPr>
          <w:noProof/>
          <w:sz w:val="22"/>
          <w:szCs w:val="22"/>
        </w:rPr>
        <w:t>1</w:t>
      </w:r>
      <w:r w:rsidRPr="00E758A3">
        <w:rPr>
          <w:sz w:val="22"/>
          <w:szCs w:val="22"/>
        </w:rPr>
        <w:fldChar w:fldCharType="end"/>
      </w:r>
      <w:r w:rsidRPr="00E758A3">
        <w:rPr>
          <w:sz w:val="22"/>
          <w:szCs w:val="22"/>
        </w:rPr>
        <w:t>: depending on UE capability, DC</w:t>
      </w:r>
      <w:r w:rsidR="00BA4024" w:rsidRPr="00E758A3">
        <w:rPr>
          <w:sz w:val="22"/>
          <w:szCs w:val="22"/>
        </w:rPr>
        <w:t>-based handover that involves differen</w:t>
      </w:r>
      <w:r w:rsidR="00BA4024" w:rsidRPr="00E758A3">
        <w:rPr>
          <w:rFonts w:hint="eastAsia"/>
          <w:sz w:val="22"/>
          <w:szCs w:val="22"/>
          <w:lang w:eastAsia="zh-CN"/>
        </w:rPr>
        <w:t>t</w:t>
      </w:r>
      <w:r w:rsidR="00BA4024" w:rsidRPr="00E758A3">
        <w:rPr>
          <w:sz w:val="22"/>
          <w:szCs w:val="22"/>
          <w:lang w:eastAsia="zh-CN"/>
        </w:rPr>
        <w:t xml:space="preserve"> SCS in source and target cell is feasible.</w:t>
      </w:r>
      <w:bookmarkEnd w:id="6"/>
      <w:r w:rsidR="00BA4024" w:rsidRPr="00E758A3">
        <w:rPr>
          <w:sz w:val="22"/>
          <w:szCs w:val="22"/>
          <w:lang w:eastAsia="zh-CN"/>
        </w:rPr>
        <w:t xml:space="preserve"> </w:t>
      </w:r>
    </w:p>
    <w:p w14:paraId="0EF459C3" w14:textId="3B582434" w:rsidR="001B12E5" w:rsidRDefault="00266C22" w:rsidP="001B12E5">
      <w:pPr>
        <w:rPr>
          <w:lang w:val="en-US"/>
        </w:rPr>
      </w:pPr>
      <w:r>
        <w:rPr>
          <w:lang w:eastAsia="zh-CN" w:bidi="hi-IN"/>
        </w:rPr>
        <w:t>A</w:t>
      </w:r>
      <w:r>
        <w:rPr>
          <w:rFonts w:hint="eastAsia"/>
          <w:lang w:eastAsia="zh-CN" w:bidi="hi-IN"/>
        </w:rPr>
        <w:t>not</w:t>
      </w:r>
      <w:r>
        <w:rPr>
          <w:lang w:eastAsia="zh-CN" w:bidi="hi-IN"/>
        </w:rPr>
        <w:t>her aspect needs to be addressed is the utilization of Tx/Rx beamforming in NR.</w:t>
      </w:r>
      <w:r w:rsidR="001B12E5" w:rsidRPr="001B12E5">
        <w:rPr>
          <w:lang w:val="en-US"/>
        </w:rPr>
        <w:t xml:space="preserve"> </w:t>
      </w:r>
      <w:r w:rsidR="001B12E5">
        <w:rPr>
          <w:lang w:val="en-US"/>
        </w:rPr>
        <w:t xml:space="preserve">Currently in RAN4 we assume that UE cannot hold multiple Tx/Rx beams simultaneously. At least for now, we don’t intent to revise this assumption in this work item, since the change of this assumption will bring significant update on our RRM requirement and we don’t expect this can be done in a handover enhancement work item. </w:t>
      </w:r>
    </w:p>
    <w:p w14:paraId="4F2436D3" w14:textId="1A2CB946" w:rsidR="001B12E5" w:rsidRDefault="001B12E5" w:rsidP="001B12E5">
      <w:pPr>
        <w:pStyle w:val="Caption"/>
        <w:rPr>
          <w:sz w:val="20"/>
        </w:rPr>
      </w:pPr>
      <w:bookmarkStart w:id="7" w:name="_Ref4407533"/>
      <w:bookmarkStart w:id="8" w:name="_Ref4697232"/>
      <w:r w:rsidRPr="00A82C72">
        <w:rPr>
          <w:sz w:val="20"/>
        </w:rPr>
        <w:t xml:space="preserve">Proposal </w:t>
      </w:r>
      <w:r w:rsidRPr="00A82C72">
        <w:rPr>
          <w:sz w:val="20"/>
        </w:rPr>
        <w:fldChar w:fldCharType="begin"/>
      </w:r>
      <w:r w:rsidRPr="00A82C72">
        <w:rPr>
          <w:sz w:val="20"/>
        </w:rPr>
        <w:instrText xml:space="preserve"> SEQ Proposal \* ARABIC </w:instrText>
      </w:r>
      <w:r w:rsidRPr="00A82C72">
        <w:rPr>
          <w:sz w:val="20"/>
        </w:rPr>
        <w:fldChar w:fldCharType="separate"/>
      </w:r>
      <w:r w:rsidR="0027383A">
        <w:rPr>
          <w:noProof/>
          <w:sz w:val="20"/>
        </w:rPr>
        <w:t>2</w:t>
      </w:r>
      <w:r w:rsidRPr="00A82C72">
        <w:rPr>
          <w:sz w:val="20"/>
        </w:rPr>
        <w:fldChar w:fldCharType="end"/>
      </w:r>
      <w:r w:rsidRPr="00A82C72">
        <w:rPr>
          <w:sz w:val="20"/>
        </w:rPr>
        <w:t xml:space="preserve">: </w:t>
      </w:r>
      <w:bookmarkEnd w:id="7"/>
      <w:r w:rsidR="00DA4D47">
        <w:rPr>
          <w:sz w:val="20"/>
          <w:lang w:eastAsia="zh-CN"/>
        </w:rPr>
        <w:t>DC-based handover in FR2 is not considered in this work item, unless the source and target cells are collocated and UE has the QCL information.</w:t>
      </w:r>
      <w:bookmarkEnd w:id="8"/>
    </w:p>
    <w:p w14:paraId="63A5334D" w14:textId="6AA92A35" w:rsidR="00E77640" w:rsidRDefault="00E77640" w:rsidP="00E77640">
      <w:pPr>
        <w:rPr>
          <w:lang w:eastAsia="zh-CN" w:bidi="hi-IN"/>
        </w:rPr>
      </w:pPr>
    </w:p>
    <w:p w14:paraId="55CA948E" w14:textId="1FFF3A90" w:rsidR="00E77640" w:rsidRDefault="00E77640" w:rsidP="00E77640">
      <w:pPr>
        <w:pStyle w:val="Heading2"/>
        <w:ind w:left="720"/>
        <w:rPr>
          <w:lang w:val="en-US"/>
        </w:rPr>
      </w:pPr>
      <w:r>
        <w:rPr>
          <w:lang w:val="en-US"/>
        </w:rPr>
        <w:t>Make-before-break handover</w:t>
      </w:r>
    </w:p>
    <w:p w14:paraId="6C7586AB" w14:textId="607DC38F" w:rsidR="001850A9" w:rsidRDefault="001850A9" w:rsidP="001850A9">
      <w:pPr>
        <w:rPr>
          <w:lang w:val="en-US" w:eastAsia="ja-JP" w:bidi="hi-IN"/>
        </w:rPr>
      </w:pPr>
      <w:r>
        <w:rPr>
          <w:lang w:val="en-US" w:eastAsia="ja-JP" w:bidi="hi-IN"/>
        </w:rPr>
        <w:t>Agreement on MBB handover in last RAN4 meeting is informatively provided as follow:</w:t>
      </w:r>
    </w:p>
    <w:tbl>
      <w:tblPr>
        <w:tblStyle w:val="TableGrid"/>
        <w:tblW w:w="0" w:type="auto"/>
        <w:tblLook w:val="04A0" w:firstRow="1" w:lastRow="0" w:firstColumn="1" w:lastColumn="0" w:noHBand="0" w:noVBand="1"/>
      </w:tblPr>
      <w:tblGrid>
        <w:gridCol w:w="9629"/>
      </w:tblGrid>
      <w:tr w:rsidR="00420D5F" w14:paraId="1C1130F0" w14:textId="77777777" w:rsidTr="00420D5F">
        <w:tc>
          <w:tcPr>
            <w:tcW w:w="9629" w:type="dxa"/>
          </w:tcPr>
          <w:p w14:paraId="501AC8D9" w14:textId="53102379" w:rsidR="00420D5F" w:rsidRPr="00420D5F" w:rsidRDefault="00420D5F" w:rsidP="00420D5F">
            <w:pPr>
              <w:ind w:left="360"/>
              <w:rPr>
                <w:b/>
                <w:lang w:val="en-US" w:eastAsia="ja-JP" w:bidi="hi-IN"/>
              </w:rPr>
            </w:pPr>
            <w:r w:rsidRPr="00420D5F">
              <w:rPr>
                <w:b/>
                <w:lang w:eastAsia="ja-JP" w:bidi="hi-IN"/>
              </w:rPr>
              <w:t>Agreements on make-before-break handover</w:t>
            </w:r>
          </w:p>
          <w:p w14:paraId="1080CBAE" w14:textId="77777777" w:rsidR="00F057DD" w:rsidRPr="00420D5F" w:rsidRDefault="00F057DD" w:rsidP="00420D5F">
            <w:pPr>
              <w:numPr>
                <w:ilvl w:val="0"/>
                <w:numId w:val="24"/>
              </w:numPr>
              <w:rPr>
                <w:lang w:val="en-US" w:eastAsia="ja-JP" w:bidi="hi-IN"/>
              </w:rPr>
            </w:pPr>
            <w:r w:rsidRPr="00420D5F">
              <w:rPr>
                <w:lang w:val="en-US" w:eastAsia="ja-JP" w:bidi="hi-IN"/>
              </w:rPr>
              <w:t>RAN4 confirms the feasibility of make-before-break handover in at least FR1 intra-frequency synchronous deployment when source and target cells have the same BW and SCS.</w:t>
            </w:r>
          </w:p>
          <w:p w14:paraId="554A3CF4" w14:textId="7CB0D86E" w:rsidR="00420D5F" w:rsidRPr="00420D5F" w:rsidRDefault="00F057DD" w:rsidP="00056E6C">
            <w:pPr>
              <w:numPr>
                <w:ilvl w:val="0"/>
                <w:numId w:val="24"/>
              </w:numPr>
              <w:rPr>
                <w:lang w:val="en-US" w:eastAsia="ja-JP" w:bidi="hi-IN"/>
              </w:rPr>
            </w:pPr>
            <w:r w:rsidRPr="00420D5F">
              <w:rPr>
                <w:lang w:val="en-US" w:eastAsia="ja-JP" w:bidi="hi-IN"/>
              </w:rPr>
              <w:t>Feasibility (and corresponding conditions if feasible) of make-before-break handover in other scenarios will be further studied according to RAN2 progress.</w:t>
            </w:r>
          </w:p>
        </w:tc>
      </w:tr>
    </w:tbl>
    <w:p w14:paraId="53C42348" w14:textId="1170596C" w:rsidR="001850A9" w:rsidRDefault="00860D3E" w:rsidP="001850A9">
      <w:pPr>
        <w:rPr>
          <w:lang w:val="en-US" w:eastAsia="ja-JP" w:bidi="hi-IN"/>
        </w:rPr>
      </w:pPr>
      <w:r>
        <w:rPr>
          <w:lang w:val="en-US" w:eastAsia="ja-JP" w:bidi="hi-IN"/>
        </w:rPr>
        <w:t xml:space="preserve">Before we </w:t>
      </w:r>
      <w:r w:rsidR="004C096C">
        <w:rPr>
          <w:lang w:val="en-US" w:eastAsia="ja-JP" w:bidi="hi-IN"/>
        </w:rPr>
        <w:t>proceed to the feasibility discussion</w:t>
      </w:r>
      <w:r>
        <w:rPr>
          <w:lang w:val="en-US" w:eastAsia="ja-JP" w:bidi="hi-IN"/>
        </w:rPr>
        <w:t>, we’d like to first clarify the actual UE behavior</w:t>
      </w:r>
      <w:r w:rsidR="00FE4BA6">
        <w:rPr>
          <w:lang w:val="en-US" w:eastAsia="ja-JP" w:bidi="hi-IN"/>
        </w:rPr>
        <w:t xml:space="preserve"> with respect to when to stop uplink transmission/downlink reception with the sourc</w:t>
      </w:r>
      <w:r w:rsidR="004C096C">
        <w:rPr>
          <w:lang w:val="en-US" w:eastAsia="ja-JP" w:bidi="hi-IN"/>
        </w:rPr>
        <w:t xml:space="preserve">e cell, since the conditions under which we can confirm the feasibility actually depend on when UE can stop Tx/Rx with source cell. This issue has been discussed a lot in RAN2. However, it seems companies still have different understanding. </w:t>
      </w:r>
    </w:p>
    <w:p w14:paraId="375B0B3F" w14:textId="234C3694" w:rsidR="00060F34" w:rsidRDefault="004C096C" w:rsidP="001850A9">
      <w:pPr>
        <w:rPr>
          <w:lang w:val="en-US" w:eastAsia="ja-JP" w:bidi="hi-IN"/>
        </w:rPr>
      </w:pPr>
      <w:r>
        <w:rPr>
          <w:lang w:val="en-US" w:eastAsia="ja-JP" w:bidi="hi-IN"/>
        </w:rPr>
        <w:t>It can be found in TS36.331 and TS36.300 that both (source) eNB and UE have freedom to decide when to stop transmission and reception:</w:t>
      </w:r>
    </w:p>
    <w:tbl>
      <w:tblPr>
        <w:tblStyle w:val="TableGrid"/>
        <w:tblW w:w="0" w:type="auto"/>
        <w:tblLook w:val="04A0" w:firstRow="1" w:lastRow="0" w:firstColumn="1" w:lastColumn="0" w:noHBand="0" w:noVBand="1"/>
      </w:tblPr>
      <w:tblGrid>
        <w:gridCol w:w="9629"/>
      </w:tblGrid>
      <w:tr w:rsidR="00060F34" w14:paraId="2D9B8317" w14:textId="77777777" w:rsidTr="00060F34">
        <w:tc>
          <w:tcPr>
            <w:tcW w:w="9629" w:type="dxa"/>
          </w:tcPr>
          <w:p w14:paraId="12B3F22D" w14:textId="335633F3" w:rsidR="004C096C" w:rsidRPr="004C096C" w:rsidRDefault="004C096C" w:rsidP="00060F34">
            <w:pPr>
              <w:pStyle w:val="B1"/>
              <w:rPr>
                <w:b/>
              </w:rPr>
            </w:pPr>
            <w:r w:rsidRPr="004C096C">
              <w:rPr>
                <w:b/>
              </w:rPr>
              <w:lastRenderedPageBreak/>
              <w:t>In TS36.331</w:t>
            </w:r>
          </w:p>
          <w:p w14:paraId="4200E3F2" w14:textId="77777777" w:rsidR="00060F34" w:rsidRPr="00FE7D68" w:rsidRDefault="00060F34" w:rsidP="00060F34">
            <w:pPr>
              <w:pStyle w:val="B1"/>
            </w:pPr>
            <w:r w:rsidRPr="00FE7D68">
              <w:t>1&gt;</w:t>
            </w:r>
            <w:r w:rsidRPr="00FE7D68">
              <w:tab/>
              <w:t xml:space="preserve">if </w:t>
            </w:r>
            <w:r w:rsidRPr="00FE7D68">
              <w:rPr>
                <w:i/>
              </w:rPr>
              <w:t>makeBeforeBreak</w:t>
            </w:r>
            <w:r w:rsidRPr="00FE7D68">
              <w:t xml:space="preserve"> is configured:</w:t>
            </w:r>
          </w:p>
          <w:p w14:paraId="3735858B" w14:textId="77777777" w:rsidR="00060F34" w:rsidRPr="00FE7D68" w:rsidRDefault="00060F34" w:rsidP="00060F34">
            <w:pPr>
              <w:pStyle w:val="B2"/>
            </w:pPr>
            <w:r w:rsidRPr="00FE7D68">
              <w:t>2&gt;</w:t>
            </w:r>
            <w:r w:rsidRPr="00FE7D68">
              <w:tab/>
              <w:t>perform the remainder of this procedure including and following resetting MAC after the UE has stopped the uplink transmission/downlink reception with the source cell(s);</w:t>
            </w:r>
          </w:p>
          <w:p w14:paraId="1B50FC0A" w14:textId="77777777" w:rsidR="00060F34" w:rsidRPr="00FE7D68" w:rsidRDefault="00060F34" w:rsidP="00060F34">
            <w:pPr>
              <w:pStyle w:val="NO"/>
            </w:pPr>
            <w:r w:rsidRPr="00FE7D68">
              <w:t>NOTE 1a:</w:t>
            </w:r>
            <w:r w:rsidRPr="00FE7D68">
              <w:tab/>
              <w:t xml:space="preserve">It is up to UE implementation when to stop the uplink transmission/ downlink reception with the source cell(s) to initiate re-tuning for connection to the target cell [16], if </w:t>
            </w:r>
            <w:r w:rsidRPr="00FE7D68">
              <w:rPr>
                <w:i/>
              </w:rPr>
              <w:t>makeBeforeBreak</w:t>
            </w:r>
            <w:r w:rsidRPr="00FE7D68">
              <w:t xml:space="preserve"> is configured.</w:t>
            </w:r>
          </w:p>
          <w:p w14:paraId="44633956" w14:textId="77777777" w:rsidR="00060F34" w:rsidRPr="00060F34" w:rsidRDefault="00060F34" w:rsidP="001850A9">
            <w:pPr>
              <w:rPr>
                <w:lang w:eastAsia="ja-JP" w:bidi="hi-IN"/>
              </w:rPr>
            </w:pPr>
          </w:p>
        </w:tc>
      </w:tr>
      <w:tr w:rsidR="00FE4BA6" w14:paraId="4F335D0B" w14:textId="77777777" w:rsidTr="00FE4BA6">
        <w:tc>
          <w:tcPr>
            <w:tcW w:w="9629" w:type="dxa"/>
          </w:tcPr>
          <w:p w14:paraId="4864921A" w14:textId="6F61FD0B" w:rsidR="004C096C" w:rsidRPr="004C096C" w:rsidRDefault="004C096C" w:rsidP="004C096C">
            <w:pPr>
              <w:pStyle w:val="B1"/>
              <w:rPr>
                <w:b/>
              </w:rPr>
            </w:pPr>
            <w:r w:rsidRPr="004C096C">
              <w:rPr>
                <w:b/>
              </w:rPr>
              <w:t>In TS36.3</w:t>
            </w:r>
            <w:r>
              <w:rPr>
                <w:b/>
              </w:rPr>
              <w:t>00</w:t>
            </w:r>
          </w:p>
          <w:p w14:paraId="7F0A74E4" w14:textId="12E39B74" w:rsidR="00FE4BA6" w:rsidRPr="00FE4BA6" w:rsidRDefault="00FE4BA6" w:rsidP="00FE4BA6">
            <w:pPr>
              <w:pStyle w:val="NO"/>
            </w:pPr>
            <w:r w:rsidRPr="00B60A7F">
              <w:t>NOTE:</w:t>
            </w:r>
            <w:r w:rsidRPr="00B60A7F">
              <w:tab/>
              <w:t>If Make-Before-Break HO is configured, the source eNB decides when to stop transmitting to the UE.</w:t>
            </w:r>
          </w:p>
        </w:tc>
      </w:tr>
    </w:tbl>
    <w:p w14:paraId="4C1F7727" w14:textId="1664434A" w:rsidR="00FE4BA6" w:rsidRDefault="00B536A3" w:rsidP="001850A9">
      <w:pPr>
        <w:rPr>
          <w:lang w:val="en-US" w:eastAsia="ja-JP" w:bidi="hi-IN"/>
        </w:rPr>
      </w:pPr>
      <w:r>
        <w:rPr>
          <w:lang w:val="en-US" w:eastAsia="ja-JP" w:bidi="hi-IN"/>
        </w:rPr>
        <w:t xml:space="preserve">It can also be found in TS36.300 that the connection with source cell shall at least be maintained before “the UE </w:t>
      </w:r>
      <w:r w:rsidRPr="00B60A7F">
        <w:t>executes initial uplink transmission to the target cell</w:t>
      </w:r>
      <w:r>
        <w:t>”</w:t>
      </w:r>
      <w:r w:rsidRPr="00B60A7F">
        <w:t>.</w:t>
      </w:r>
      <w:r>
        <w:t xml:space="preserve"> </w:t>
      </w:r>
    </w:p>
    <w:tbl>
      <w:tblPr>
        <w:tblStyle w:val="TableGrid"/>
        <w:tblW w:w="0" w:type="auto"/>
        <w:tblLook w:val="04A0" w:firstRow="1" w:lastRow="0" w:firstColumn="1" w:lastColumn="0" w:noHBand="0" w:noVBand="1"/>
      </w:tblPr>
      <w:tblGrid>
        <w:gridCol w:w="9629"/>
      </w:tblGrid>
      <w:tr w:rsidR="00B536A3" w14:paraId="64B6C2A9" w14:textId="77777777" w:rsidTr="00B536A3">
        <w:tc>
          <w:tcPr>
            <w:tcW w:w="9629" w:type="dxa"/>
          </w:tcPr>
          <w:p w14:paraId="44AA85F3" w14:textId="77777777" w:rsidR="00B536A3" w:rsidRPr="004C096C" w:rsidRDefault="00B536A3" w:rsidP="00B536A3">
            <w:pPr>
              <w:pStyle w:val="B1"/>
              <w:rPr>
                <w:b/>
              </w:rPr>
            </w:pPr>
            <w:r w:rsidRPr="004C096C">
              <w:rPr>
                <w:b/>
              </w:rPr>
              <w:t>In TS36.3</w:t>
            </w:r>
            <w:r>
              <w:rPr>
                <w:b/>
              </w:rPr>
              <w:t>00</w:t>
            </w:r>
          </w:p>
          <w:p w14:paraId="3DA7AD79" w14:textId="5256C714" w:rsidR="00B536A3" w:rsidRDefault="00B536A3" w:rsidP="001850A9">
            <w:pPr>
              <w:rPr>
                <w:lang w:val="en-US" w:eastAsia="ja-JP" w:bidi="hi-IN"/>
              </w:rPr>
            </w:pPr>
            <w:r w:rsidRPr="00B60A7F">
              <w:t xml:space="preserve">If Make-Before-Break HO is configured, the connection to the source cell is maintained after the reception of </w:t>
            </w:r>
            <w:r w:rsidRPr="00B60A7F">
              <w:rPr>
                <w:i/>
              </w:rPr>
              <w:t>RRCConnectionReconfiguration</w:t>
            </w:r>
            <w:r w:rsidRPr="00B60A7F">
              <w:t xml:space="preserve"> message with </w:t>
            </w:r>
            <w:r w:rsidRPr="00B60A7F">
              <w:rPr>
                <w:i/>
                <w:iCs/>
              </w:rPr>
              <w:t>mobilityControlInformation</w:t>
            </w:r>
            <w:r w:rsidRPr="00B60A7F">
              <w:t xml:space="preserve"> before the UE executes initial uplink transmission to the target cell.</w:t>
            </w:r>
          </w:p>
        </w:tc>
      </w:tr>
    </w:tbl>
    <w:p w14:paraId="207C1744" w14:textId="50D851C4" w:rsidR="00B536A3" w:rsidRDefault="00955851" w:rsidP="001850A9">
      <w:r>
        <w:rPr>
          <w:lang w:val="en-US" w:eastAsia="ja-JP" w:bidi="hi-IN"/>
        </w:rPr>
        <w:t xml:space="preserve">In our understanding, “the UE </w:t>
      </w:r>
      <w:r w:rsidRPr="00B60A7F">
        <w:t>executes initial uplink transmission to the target cell</w:t>
      </w:r>
      <w:r>
        <w:t>” means the time when UE sends PRACH preamble to the target cell.</w:t>
      </w:r>
      <w:r w:rsidR="00257EAD">
        <w:t xml:space="preserve"> Thus according to RAN2 specification, literally, UE is allowed to stop connection with the source cell at the moment preamble is transmitted (some interrupt is allowed according to TS36.133). Note that UE is also allowed to maintain the connection even after preamble is transmitted (the source eNB may keep scheduling the UE during this period since it doesn’t know when the UE sends preamble to the target cell).</w:t>
      </w:r>
    </w:p>
    <w:p w14:paraId="11A3B80C" w14:textId="5EA85386" w:rsidR="00257EAD" w:rsidRDefault="004E29C4" w:rsidP="001850A9">
      <w:pPr>
        <w:rPr>
          <w:lang w:val="en-US" w:eastAsia="ja-JP" w:bidi="hi-IN"/>
        </w:rPr>
      </w:pPr>
      <w:r>
        <w:rPr>
          <w:lang w:val="en-US" w:eastAsia="ja-JP" w:bidi="hi-IN"/>
        </w:rPr>
        <w:t>For short we denote these different UE behaviors as:</w:t>
      </w:r>
    </w:p>
    <w:p w14:paraId="7C624270" w14:textId="05C289E4" w:rsidR="00412F8F" w:rsidRDefault="00EB3198" w:rsidP="00412F8F">
      <w:pPr>
        <w:rPr>
          <w:lang w:val="en-US" w:eastAsia="ja-JP" w:bidi="hi-IN"/>
        </w:rPr>
      </w:pPr>
      <w:r>
        <w:rPr>
          <w:lang w:val="en-US" w:eastAsia="ja-JP" w:bidi="hi-IN"/>
        </w:rPr>
        <w:t>Behavior</w:t>
      </w:r>
      <w:r w:rsidR="00412F8F">
        <w:rPr>
          <w:lang w:val="en-US" w:eastAsia="ja-JP" w:bidi="hi-IN"/>
        </w:rPr>
        <w:t xml:space="preserve"> 1: UE maintain connection with source cell after preamble transmission.</w:t>
      </w:r>
    </w:p>
    <w:p w14:paraId="6CE9C145" w14:textId="173FFCE2" w:rsidR="004E29C4" w:rsidRDefault="004E29C4" w:rsidP="001850A9">
      <w:pPr>
        <w:rPr>
          <w:lang w:val="en-US" w:eastAsia="ja-JP" w:bidi="hi-IN"/>
        </w:rPr>
      </w:pPr>
      <w:r>
        <w:rPr>
          <w:lang w:val="en-US" w:eastAsia="ja-JP" w:bidi="hi-IN"/>
        </w:rPr>
        <w:t xml:space="preserve">Behavior </w:t>
      </w:r>
      <w:r w:rsidR="00412F8F">
        <w:rPr>
          <w:lang w:val="en-US" w:eastAsia="ja-JP" w:bidi="hi-IN"/>
        </w:rPr>
        <w:t>2</w:t>
      </w:r>
      <w:r>
        <w:rPr>
          <w:lang w:val="en-US" w:eastAsia="ja-JP" w:bidi="hi-IN"/>
        </w:rPr>
        <w:t>: UE stop connection with source cell before preamble transmission.</w:t>
      </w:r>
    </w:p>
    <w:p w14:paraId="29F5E5C0" w14:textId="34BE45FA" w:rsidR="004E29C4" w:rsidRDefault="00412F8F" w:rsidP="001850A9">
      <w:pPr>
        <w:rPr>
          <w:lang w:val="en-US" w:eastAsia="zh-CN" w:bidi="hi-IN"/>
        </w:rPr>
      </w:pPr>
      <w:r>
        <w:rPr>
          <w:lang w:val="en-US" w:eastAsia="zh-CN" w:bidi="hi-IN"/>
        </w:rPr>
        <w:t>N</w:t>
      </w:r>
      <w:r>
        <w:rPr>
          <w:rFonts w:hint="eastAsia"/>
          <w:lang w:val="en-US" w:eastAsia="zh-CN" w:bidi="hi-IN"/>
        </w:rPr>
        <w:t>ote</w:t>
      </w:r>
      <w:r>
        <w:rPr>
          <w:lang w:val="en-US" w:eastAsia="zh-CN" w:bidi="hi-IN"/>
        </w:rPr>
        <w:t xml:space="preserve"> that in some extent behavior 1 is similar with DC-based handover, since UE needs to keep Tx/Rx with the source cell while transmitting preamble and receiving RAR from/to the target cell.</w:t>
      </w:r>
      <w:r w:rsidR="00C42592">
        <w:rPr>
          <w:lang w:val="en-US" w:eastAsia="zh-CN" w:bidi="hi-IN"/>
        </w:rPr>
        <w:t xml:space="preserve"> By going with this implementation, the outcome of feasibility of MBB handover may be the same as that of DC-based handover.</w:t>
      </w:r>
    </w:p>
    <w:p w14:paraId="028F58AC" w14:textId="759825B7" w:rsidR="00C42592" w:rsidRDefault="00C42592" w:rsidP="001850A9">
      <w:pPr>
        <w:rPr>
          <w:lang w:val="en-US" w:eastAsia="zh-CN" w:bidi="hi-IN"/>
        </w:rPr>
      </w:pPr>
      <w:r>
        <w:rPr>
          <w:lang w:val="en-US" w:eastAsia="zh-CN" w:bidi="hi-IN"/>
        </w:rPr>
        <w:t xml:space="preserve">Regarding behavior 2, UE doesn’t need to maintain dual connectivity with the source and target cell simultaneously through the whole procedure. </w:t>
      </w:r>
      <w:r w:rsidR="00207F77">
        <w:rPr>
          <w:lang w:val="en-US" w:eastAsia="zh-CN" w:bidi="hi-IN"/>
        </w:rPr>
        <w:t>This will give MBB handover more extensive use case compared with DC-based handover, since it demands less UE complexity.</w:t>
      </w:r>
    </w:p>
    <w:p w14:paraId="76F1713C" w14:textId="378A3474" w:rsidR="009F2EBB" w:rsidRDefault="009F2EBB" w:rsidP="001850A9">
      <w:pPr>
        <w:rPr>
          <w:lang w:val="en-US" w:eastAsia="ja-JP" w:bidi="hi-IN"/>
        </w:rPr>
      </w:pPr>
      <w:r>
        <w:rPr>
          <w:lang w:val="en-US" w:eastAsia="zh-CN" w:bidi="hi-IN"/>
        </w:rPr>
        <w:t xml:space="preserve">Note that currently in RAN4 LTE requirement, the interrupt time in MBB handover was derived based on the assumption that UE will </w:t>
      </w:r>
      <w:r>
        <w:rPr>
          <w:lang w:val="en-US" w:eastAsia="ja-JP" w:bidi="hi-IN"/>
        </w:rPr>
        <w:t>stop connection with source cell before preamble transmission.</w:t>
      </w:r>
    </w:p>
    <w:p w14:paraId="5E3AFADD" w14:textId="769ACFDF" w:rsidR="009F2EBB" w:rsidRPr="009F2EBB" w:rsidRDefault="009F2EBB" w:rsidP="009F2EBB">
      <w:pPr>
        <w:pStyle w:val="Caption"/>
        <w:rPr>
          <w:sz w:val="20"/>
          <w:lang w:val="en-US" w:eastAsia="zh-CN" w:bidi="hi-IN"/>
        </w:rPr>
      </w:pPr>
      <w:bookmarkStart w:id="9" w:name="_Ref4697251"/>
      <w:r w:rsidRPr="009F2EBB">
        <w:rPr>
          <w:sz w:val="20"/>
        </w:rPr>
        <w:t xml:space="preserve">Observation </w:t>
      </w:r>
      <w:r w:rsidRPr="009F2EBB">
        <w:rPr>
          <w:sz w:val="20"/>
        </w:rPr>
        <w:fldChar w:fldCharType="begin"/>
      </w:r>
      <w:r w:rsidRPr="009F2EBB">
        <w:rPr>
          <w:sz w:val="20"/>
        </w:rPr>
        <w:instrText xml:space="preserve"> SEQ Observation \* ARABIC </w:instrText>
      </w:r>
      <w:r w:rsidRPr="009F2EBB">
        <w:rPr>
          <w:sz w:val="20"/>
        </w:rPr>
        <w:fldChar w:fldCharType="separate"/>
      </w:r>
      <w:r w:rsidR="0093691A">
        <w:rPr>
          <w:noProof/>
          <w:sz w:val="20"/>
        </w:rPr>
        <w:t>4</w:t>
      </w:r>
      <w:r w:rsidRPr="009F2EBB">
        <w:rPr>
          <w:sz w:val="20"/>
        </w:rPr>
        <w:fldChar w:fldCharType="end"/>
      </w:r>
      <w:r w:rsidRPr="009F2EBB">
        <w:rPr>
          <w:sz w:val="20"/>
        </w:rPr>
        <w:t xml:space="preserve">: currently in </w:t>
      </w:r>
      <w:r w:rsidRPr="009F2EBB">
        <w:rPr>
          <w:sz w:val="20"/>
          <w:lang w:val="en-US" w:eastAsia="zh-CN" w:bidi="hi-IN"/>
        </w:rPr>
        <w:t>RAN4</w:t>
      </w:r>
      <w:r>
        <w:rPr>
          <w:sz w:val="20"/>
          <w:lang w:val="en-US" w:eastAsia="zh-CN" w:bidi="hi-IN"/>
        </w:rPr>
        <w:t xml:space="preserve"> </w:t>
      </w:r>
      <w:r>
        <w:rPr>
          <w:rFonts w:hint="eastAsia"/>
          <w:sz w:val="20"/>
          <w:lang w:val="en-US" w:eastAsia="zh-CN" w:bidi="hi-IN"/>
        </w:rPr>
        <w:t>LTE</w:t>
      </w:r>
      <w:r w:rsidRPr="009F2EBB">
        <w:rPr>
          <w:sz w:val="20"/>
          <w:lang w:val="en-US" w:eastAsia="zh-CN" w:bidi="hi-IN"/>
        </w:rPr>
        <w:t xml:space="preserve"> requirement, the interrupt time in MBB handover was derived based on the assumption that UE will </w:t>
      </w:r>
      <w:r w:rsidRPr="009F2EBB">
        <w:rPr>
          <w:sz w:val="20"/>
          <w:lang w:val="en-US" w:eastAsia="ja-JP" w:bidi="hi-IN"/>
        </w:rPr>
        <w:t>stop connection with source cell before preamble transmission.</w:t>
      </w:r>
      <w:bookmarkEnd w:id="9"/>
    </w:p>
    <w:p w14:paraId="785D3604" w14:textId="60BFDE66" w:rsidR="00552155" w:rsidRPr="009952D5" w:rsidRDefault="00F057DD" w:rsidP="00F057DD">
      <w:pPr>
        <w:pStyle w:val="Caption"/>
        <w:rPr>
          <w:sz w:val="20"/>
        </w:rPr>
      </w:pPr>
      <w:bookmarkStart w:id="10" w:name="_Ref4697257"/>
      <w:r w:rsidRPr="009952D5">
        <w:rPr>
          <w:sz w:val="20"/>
        </w:rPr>
        <w:t xml:space="preserve">Proposal </w:t>
      </w:r>
      <w:r w:rsidRPr="009952D5">
        <w:rPr>
          <w:sz w:val="20"/>
        </w:rPr>
        <w:fldChar w:fldCharType="begin"/>
      </w:r>
      <w:r w:rsidRPr="009952D5">
        <w:rPr>
          <w:sz w:val="20"/>
        </w:rPr>
        <w:instrText xml:space="preserve"> SEQ Proposal \* ARABIC </w:instrText>
      </w:r>
      <w:r w:rsidRPr="009952D5">
        <w:rPr>
          <w:sz w:val="20"/>
        </w:rPr>
        <w:fldChar w:fldCharType="separate"/>
      </w:r>
      <w:r w:rsidR="0027383A">
        <w:rPr>
          <w:noProof/>
          <w:sz w:val="20"/>
        </w:rPr>
        <w:t>3</w:t>
      </w:r>
      <w:r w:rsidRPr="009952D5">
        <w:rPr>
          <w:sz w:val="20"/>
        </w:rPr>
        <w:fldChar w:fldCharType="end"/>
      </w:r>
      <w:r w:rsidRPr="009952D5">
        <w:rPr>
          <w:sz w:val="20"/>
        </w:rPr>
        <w:t>: when discussing the feasibility of make-before-break handover</w:t>
      </w:r>
      <w:r w:rsidR="009F2EBB">
        <w:rPr>
          <w:sz w:val="20"/>
        </w:rPr>
        <w:t xml:space="preserve"> in NR</w:t>
      </w:r>
      <w:r w:rsidRPr="009952D5">
        <w:rPr>
          <w:sz w:val="20"/>
        </w:rPr>
        <w:t xml:space="preserve">, RAN4 assumes UE will stop connection </w:t>
      </w:r>
      <w:r w:rsidR="00EB3198" w:rsidRPr="009952D5">
        <w:rPr>
          <w:sz w:val="20"/>
        </w:rPr>
        <w:t>with source cell before preamble transmission</w:t>
      </w:r>
      <w:r w:rsidR="009B633B" w:rsidRPr="009952D5">
        <w:rPr>
          <w:sz w:val="20"/>
        </w:rPr>
        <w:t>.</w:t>
      </w:r>
      <w:bookmarkEnd w:id="10"/>
    </w:p>
    <w:p w14:paraId="6303D560" w14:textId="77777777" w:rsidR="00060F34" w:rsidRDefault="00060F34" w:rsidP="001850A9">
      <w:pPr>
        <w:rPr>
          <w:lang w:val="en-US" w:eastAsia="ja-JP" w:bidi="hi-IN"/>
        </w:rPr>
      </w:pPr>
    </w:p>
    <w:p w14:paraId="6CE4D149" w14:textId="14534D87" w:rsidR="00190837" w:rsidRDefault="00190837" w:rsidP="00190837">
      <w:pPr>
        <w:pStyle w:val="Heading2"/>
        <w:ind w:left="720"/>
        <w:rPr>
          <w:lang w:val="en-US"/>
        </w:rPr>
      </w:pPr>
      <w:r>
        <w:rPr>
          <w:lang w:val="en-US"/>
        </w:rPr>
        <w:t>RACH-less handover</w:t>
      </w:r>
    </w:p>
    <w:p w14:paraId="7760A50D" w14:textId="660621E1" w:rsidR="00190837" w:rsidRDefault="00190837" w:rsidP="00190837">
      <w:pPr>
        <w:rPr>
          <w:lang w:val="en-US" w:eastAsia="ja-JP" w:bidi="hi-IN"/>
        </w:rPr>
      </w:pPr>
      <w:r>
        <w:rPr>
          <w:lang w:val="en-US" w:eastAsia="ja-JP" w:bidi="hi-IN"/>
        </w:rPr>
        <w:t>Agreement on RACH-less handover in last RAN4 meeting is informatively provided as follow:</w:t>
      </w:r>
    </w:p>
    <w:tbl>
      <w:tblPr>
        <w:tblStyle w:val="TableGrid"/>
        <w:tblW w:w="0" w:type="auto"/>
        <w:tblLook w:val="04A0" w:firstRow="1" w:lastRow="0" w:firstColumn="1" w:lastColumn="0" w:noHBand="0" w:noVBand="1"/>
      </w:tblPr>
      <w:tblGrid>
        <w:gridCol w:w="9629"/>
      </w:tblGrid>
      <w:tr w:rsidR="00190837" w14:paraId="2ECCF5DE" w14:textId="77777777" w:rsidTr="00F057DD">
        <w:tc>
          <w:tcPr>
            <w:tcW w:w="9629" w:type="dxa"/>
          </w:tcPr>
          <w:p w14:paraId="51A8D8B0" w14:textId="77777777" w:rsidR="00190837" w:rsidRPr="00420D5F" w:rsidRDefault="00190837" w:rsidP="00F057DD">
            <w:pPr>
              <w:ind w:left="360"/>
              <w:rPr>
                <w:b/>
                <w:lang w:val="en-US" w:eastAsia="ja-JP" w:bidi="hi-IN"/>
              </w:rPr>
            </w:pPr>
            <w:r w:rsidRPr="00420D5F">
              <w:rPr>
                <w:b/>
                <w:lang w:eastAsia="ja-JP" w:bidi="hi-IN"/>
              </w:rPr>
              <w:t>Agreements on make-before-break handover</w:t>
            </w:r>
          </w:p>
          <w:p w14:paraId="61E174E5" w14:textId="77777777" w:rsidR="00F057DD" w:rsidRPr="00190837" w:rsidRDefault="00F057DD" w:rsidP="00190837">
            <w:pPr>
              <w:numPr>
                <w:ilvl w:val="0"/>
                <w:numId w:val="24"/>
              </w:numPr>
              <w:rPr>
                <w:lang w:val="en-US" w:eastAsia="ja-JP" w:bidi="hi-IN"/>
              </w:rPr>
            </w:pPr>
            <w:r w:rsidRPr="00190837">
              <w:rPr>
                <w:lang w:val="en-US" w:eastAsia="ja-JP" w:bidi="hi-IN"/>
              </w:rPr>
              <w:t xml:space="preserve">RAN4 confirms the feasibility of RACH-less handover in FR1 for at least </w:t>
            </w:r>
          </w:p>
          <w:p w14:paraId="214E55ED" w14:textId="77777777" w:rsidR="00F057DD" w:rsidRPr="00190837" w:rsidRDefault="00F057DD" w:rsidP="00190837">
            <w:pPr>
              <w:numPr>
                <w:ilvl w:val="1"/>
                <w:numId w:val="24"/>
              </w:numPr>
              <w:rPr>
                <w:lang w:val="en-US" w:eastAsia="ja-JP" w:bidi="hi-IN"/>
              </w:rPr>
            </w:pPr>
            <w:r w:rsidRPr="00190837">
              <w:rPr>
                <w:lang w:val="en-US" w:eastAsia="ja-JP" w:bidi="hi-IN"/>
              </w:rPr>
              <w:lastRenderedPageBreak/>
              <w:t>intra-frequency synchronous case with same SCS between source and target cells</w:t>
            </w:r>
          </w:p>
          <w:p w14:paraId="55432BAE" w14:textId="77777777" w:rsidR="00F057DD" w:rsidRPr="00190837" w:rsidRDefault="00F057DD" w:rsidP="00190837">
            <w:pPr>
              <w:numPr>
                <w:ilvl w:val="1"/>
                <w:numId w:val="24"/>
              </w:numPr>
              <w:rPr>
                <w:lang w:val="en-US" w:eastAsia="ja-JP" w:bidi="hi-IN"/>
              </w:rPr>
            </w:pPr>
            <w:r w:rsidRPr="00190837">
              <w:rPr>
                <w:lang w:val="en-US" w:eastAsia="ja-JP" w:bidi="hi-IN"/>
              </w:rPr>
              <w:t>same TA or zero TA between source and target cells.</w:t>
            </w:r>
          </w:p>
          <w:p w14:paraId="0CEF9019" w14:textId="77777777" w:rsidR="00F057DD" w:rsidRPr="00190837" w:rsidRDefault="00F057DD" w:rsidP="00190837">
            <w:pPr>
              <w:numPr>
                <w:ilvl w:val="1"/>
                <w:numId w:val="24"/>
              </w:numPr>
              <w:rPr>
                <w:lang w:val="en-US" w:eastAsia="ja-JP" w:bidi="hi-IN"/>
              </w:rPr>
            </w:pPr>
            <w:r w:rsidRPr="00190837">
              <w:rPr>
                <w:lang w:val="en-US" w:eastAsia="ja-JP" w:bidi="hi-IN"/>
              </w:rPr>
              <w:t>Single BS Tx beam deployment</w:t>
            </w:r>
          </w:p>
          <w:p w14:paraId="3703FB50" w14:textId="5B711C20" w:rsidR="00190837" w:rsidRPr="00190837" w:rsidRDefault="00F057DD" w:rsidP="00190837">
            <w:pPr>
              <w:numPr>
                <w:ilvl w:val="0"/>
                <w:numId w:val="24"/>
              </w:numPr>
              <w:rPr>
                <w:lang w:val="en-US" w:eastAsia="ja-JP" w:bidi="hi-IN"/>
              </w:rPr>
            </w:pPr>
            <w:r w:rsidRPr="00190837">
              <w:rPr>
                <w:lang w:val="en-US" w:eastAsia="ja-JP" w:bidi="hi-IN"/>
              </w:rPr>
              <w:t xml:space="preserve">Feasibility (and corresponding conditions if feasible) of RACH-less handover in other scenarios will be further </w:t>
            </w:r>
            <w:r w:rsidR="003236B8">
              <w:rPr>
                <w:lang w:val="en-US" w:eastAsia="ja-JP" w:bidi="hi-IN"/>
              </w:rPr>
              <w:t xml:space="preserve">studied according </w:t>
            </w:r>
            <w:r w:rsidRPr="00190837">
              <w:rPr>
                <w:lang w:val="en-US" w:eastAsia="ja-JP" w:bidi="hi-IN"/>
              </w:rPr>
              <w:t>to RAN2 progress.</w:t>
            </w:r>
          </w:p>
        </w:tc>
      </w:tr>
    </w:tbl>
    <w:p w14:paraId="236A0B16" w14:textId="2FFD7DED" w:rsidR="00190837" w:rsidRDefault="007307F5" w:rsidP="001850A9">
      <w:pPr>
        <w:rPr>
          <w:lang w:val="en-US" w:eastAsia="zh-CN" w:bidi="hi-IN"/>
        </w:rPr>
      </w:pPr>
      <w:r>
        <w:rPr>
          <w:lang w:val="en-US" w:eastAsia="ja-JP" w:bidi="hi-IN"/>
        </w:rPr>
        <w:lastRenderedPageBreak/>
        <w:t xml:space="preserve">From RRM perspective, the key difference between RACH-less handover and legacy handover is that UE can </w:t>
      </w:r>
      <w:r>
        <w:rPr>
          <w:lang w:val="en-US" w:eastAsia="zh-CN" w:bidi="hi-IN"/>
        </w:rPr>
        <w:t>skip PRACH procedure to target cell and start uplink transmission with TA</w:t>
      </w:r>
      <w:r>
        <w:rPr>
          <w:vertAlign w:val="subscript"/>
          <w:lang w:val="en-US" w:eastAsia="zh-CN" w:bidi="hi-IN"/>
        </w:rPr>
        <w:t>target</w:t>
      </w:r>
      <w:r>
        <w:rPr>
          <w:lang w:val="en-US" w:eastAsia="zh-CN" w:bidi="hi-IN"/>
        </w:rPr>
        <w:t>=0 or TA</w:t>
      </w:r>
      <w:r>
        <w:rPr>
          <w:vertAlign w:val="subscript"/>
          <w:lang w:val="en-US" w:eastAsia="zh-CN" w:bidi="hi-IN"/>
        </w:rPr>
        <w:t>target</w:t>
      </w:r>
      <w:r>
        <w:rPr>
          <w:lang w:val="en-US" w:eastAsia="zh-CN" w:bidi="hi-IN"/>
        </w:rPr>
        <w:t>=TA</w:t>
      </w:r>
      <w:r>
        <w:rPr>
          <w:vertAlign w:val="subscript"/>
          <w:lang w:val="en-US" w:eastAsia="zh-CN" w:bidi="hi-IN"/>
        </w:rPr>
        <w:t>source</w:t>
      </w:r>
      <w:r>
        <w:rPr>
          <w:lang w:val="en-US" w:eastAsia="zh-CN" w:bidi="hi-IN"/>
        </w:rPr>
        <w:t>.</w:t>
      </w:r>
      <w:r w:rsidR="00D305EC">
        <w:rPr>
          <w:lang w:val="en-US" w:eastAsia="zh-CN" w:bidi="hi-IN"/>
        </w:rPr>
        <w:t xml:space="preserve"> In our view, when TA</w:t>
      </w:r>
      <w:r w:rsidR="00D305EC">
        <w:rPr>
          <w:vertAlign w:val="subscript"/>
          <w:lang w:val="en-US" w:eastAsia="zh-CN" w:bidi="hi-IN"/>
        </w:rPr>
        <w:t>target</w:t>
      </w:r>
      <w:r w:rsidR="00D305EC">
        <w:rPr>
          <w:lang w:val="en-US" w:eastAsia="zh-CN" w:bidi="hi-IN"/>
        </w:rPr>
        <w:t>=0 or TA</w:t>
      </w:r>
      <w:r w:rsidR="00D305EC">
        <w:rPr>
          <w:vertAlign w:val="subscript"/>
          <w:lang w:val="en-US" w:eastAsia="zh-CN" w:bidi="hi-IN"/>
        </w:rPr>
        <w:t>target</w:t>
      </w:r>
      <w:r w:rsidR="00D305EC">
        <w:rPr>
          <w:lang w:val="en-US" w:eastAsia="zh-CN" w:bidi="hi-IN"/>
        </w:rPr>
        <w:t>=TA</w:t>
      </w:r>
      <w:r w:rsidR="00D305EC">
        <w:rPr>
          <w:vertAlign w:val="subscript"/>
          <w:lang w:val="en-US" w:eastAsia="zh-CN" w:bidi="hi-IN"/>
        </w:rPr>
        <w:t>source</w:t>
      </w:r>
      <w:r w:rsidR="00D305EC">
        <w:rPr>
          <w:lang w:val="en-US" w:eastAsia="zh-CN" w:bidi="hi-IN"/>
        </w:rPr>
        <w:t xml:space="preserve"> can apply is purely determined by network deployment. </w:t>
      </w:r>
      <w:r w:rsidR="00D808E2">
        <w:rPr>
          <w:lang w:val="en-US" w:eastAsia="zh-CN" w:bidi="hi-IN"/>
        </w:rPr>
        <w:t>For instance, when handover command indicates a handover to a small cell (with very small cell radius), TA</w:t>
      </w:r>
      <w:r w:rsidR="00D808E2">
        <w:rPr>
          <w:vertAlign w:val="subscript"/>
          <w:lang w:val="en-US" w:eastAsia="zh-CN" w:bidi="hi-IN"/>
        </w:rPr>
        <w:t>target</w:t>
      </w:r>
      <w:r w:rsidR="00D808E2">
        <w:rPr>
          <w:lang w:val="en-US" w:eastAsia="zh-CN" w:bidi="hi-IN"/>
        </w:rPr>
        <w:t>=0 may apply since the propagation delay is quite short and UE Tx transmission with TA</w:t>
      </w:r>
      <w:r w:rsidR="00D808E2">
        <w:rPr>
          <w:vertAlign w:val="subscript"/>
          <w:lang w:val="en-US" w:eastAsia="zh-CN" w:bidi="hi-IN"/>
        </w:rPr>
        <w:t>target</w:t>
      </w:r>
      <w:r w:rsidR="00D808E2">
        <w:rPr>
          <w:lang w:val="en-US" w:eastAsia="zh-CN" w:bidi="hi-IN"/>
        </w:rPr>
        <w:t xml:space="preserve">=0 will not result in severe performance loss in uplink demodulation. </w:t>
      </w:r>
      <w:r w:rsidR="00582805">
        <w:rPr>
          <w:lang w:val="en-US" w:eastAsia="zh-CN" w:bidi="hi-IN"/>
        </w:rPr>
        <w:t>Example for TA</w:t>
      </w:r>
      <w:r w:rsidR="00582805">
        <w:rPr>
          <w:vertAlign w:val="subscript"/>
          <w:lang w:val="en-US" w:eastAsia="zh-CN" w:bidi="hi-IN"/>
        </w:rPr>
        <w:t>target</w:t>
      </w:r>
      <w:r w:rsidR="00582805">
        <w:rPr>
          <w:lang w:val="en-US" w:eastAsia="zh-CN" w:bidi="hi-IN"/>
        </w:rPr>
        <w:t>=TA</w:t>
      </w:r>
      <w:r w:rsidR="00582805">
        <w:rPr>
          <w:vertAlign w:val="subscript"/>
          <w:lang w:val="en-US" w:eastAsia="zh-CN" w:bidi="hi-IN"/>
        </w:rPr>
        <w:t>source</w:t>
      </w:r>
      <w:r w:rsidR="00582805">
        <w:rPr>
          <w:lang w:val="en-US" w:eastAsia="zh-CN" w:bidi="hi-IN"/>
        </w:rPr>
        <w:t xml:space="preserve"> could be the case wherein handover occurs between cells which are collocated (so called intra-NB handover)</w:t>
      </w:r>
      <w:r w:rsidR="008041BD">
        <w:rPr>
          <w:lang w:val="en-US" w:eastAsia="zh-CN" w:bidi="hi-IN"/>
        </w:rPr>
        <w:t>.</w:t>
      </w:r>
    </w:p>
    <w:p w14:paraId="2AD4B734" w14:textId="0C225F0C" w:rsidR="008041BD" w:rsidRDefault="008041BD" w:rsidP="001850A9">
      <w:pPr>
        <w:rPr>
          <w:lang w:val="en-US" w:eastAsia="zh-CN" w:bidi="hi-IN"/>
        </w:rPr>
      </w:pPr>
      <w:r>
        <w:rPr>
          <w:lang w:val="en-US" w:eastAsia="ja-JP" w:bidi="hi-IN"/>
        </w:rPr>
        <w:t xml:space="preserve">With this in mind, the use case of RACH-less handover can be extended. </w:t>
      </w:r>
      <w:r w:rsidR="00A54B65">
        <w:rPr>
          <w:lang w:val="en-US" w:eastAsia="ja-JP" w:bidi="hi-IN"/>
        </w:rPr>
        <w:t>Firstly</w:t>
      </w:r>
      <w:r>
        <w:rPr>
          <w:lang w:val="en-US" w:eastAsia="ja-JP" w:bidi="hi-IN"/>
        </w:rPr>
        <w:t xml:space="preserve">, the use case shall not be limited in intra-frequency handover. </w:t>
      </w:r>
      <w:r w:rsidR="00A54B65">
        <w:rPr>
          <w:lang w:val="en-US" w:eastAsia="ja-JP" w:bidi="hi-IN"/>
        </w:rPr>
        <w:t xml:space="preserve">As long as </w:t>
      </w:r>
      <w:r w:rsidR="00A54B65">
        <w:rPr>
          <w:lang w:val="en-US" w:eastAsia="zh-CN" w:bidi="hi-IN"/>
        </w:rPr>
        <w:t>TA</w:t>
      </w:r>
      <w:r w:rsidR="00A54B65">
        <w:rPr>
          <w:vertAlign w:val="subscript"/>
          <w:lang w:val="en-US" w:eastAsia="zh-CN" w:bidi="hi-IN"/>
        </w:rPr>
        <w:t>target</w:t>
      </w:r>
      <w:r w:rsidR="00A54B65">
        <w:rPr>
          <w:lang w:val="en-US" w:eastAsia="zh-CN" w:bidi="hi-IN"/>
        </w:rPr>
        <w:t>=0 or TA</w:t>
      </w:r>
      <w:r w:rsidR="00A54B65">
        <w:rPr>
          <w:vertAlign w:val="subscript"/>
          <w:lang w:val="en-US" w:eastAsia="zh-CN" w:bidi="hi-IN"/>
        </w:rPr>
        <w:t>target</w:t>
      </w:r>
      <w:r w:rsidR="00A54B65">
        <w:rPr>
          <w:lang w:val="en-US" w:eastAsia="zh-CN" w:bidi="hi-IN"/>
        </w:rPr>
        <w:t>=TA</w:t>
      </w:r>
      <w:r w:rsidR="00A54B65">
        <w:rPr>
          <w:vertAlign w:val="subscript"/>
          <w:lang w:val="en-US" w:eastAsia="zh-CN" w:bidi="hi-IN"/>
        </w:rPr>
        <w:t>source</w:t>
      </w:r>
      <w:r w:rsidR="00A54B65">
        <w:rPr>
          <w:lang w:val="en-US" w:eastAsia="zh-CN" w:bidi="hi-IN"/>
        </w:rPr>
        <w:t xml:space="preserve"> applies, UE can transmit to the target cell regardless the target cell is on the same frequency layer or not.</w:t>
      </w:r>
    </w:p>
    <w:p w14:paraId="13760329" w14:textId="315CF0FD" w:rsidR="008C046E" w:rsidRPr="00FF5B07" w:rsidRDefault="008C046E" w:rsidP="008C046E">
      <w:pPr>
        <w:pStyle w:val="Caption"/>
        <w:rPr>
          <w:sz w:val="20"/>
        </w:rPr>
      </w:pPr>
      <w:bookmarkStart w:id="11" w:name="_Ref4697274"/>
      <w:r w:rsidRPr="00FF5B07">
        <w:rPr>
          <w:sz w:val="20"/>
        </w:rPr>
        <w:t xml:space="preserve">Observation </w:t>
      </w:r>
      <w:r w:rsidRPr="00FF5B07">
        <w:rPr>
          <w:sz w:val="20"/>
        </w:rPr>
        <w:fldChar w:fldCharType="begin"/>
      </w:r>
      <w:r w:rsidRPr="00FF5B07">
        <w:rPr>
          <w:sz w:val="20"/>
        </w:rPr>
        <w:instrText xml:space="preserve"> SEQ Observation \* ARABIC </w:instrText>
      </w:r>
      <w:r w:rsidRPr="00FF5B07">
        <w:rPr>
          <w:sz w:val="20"/>
        </w:rPr>
        <w:fldChar w:fldCharType="separate"/>
      </w:r>
      <w:r w:rsidR="0093691A">
        <w:rPr>
          <w:noProof/>
          <w:sz w:val="20"/>
        </w:rPr>
        <w:t>5</w:t>
      </w:r>
      <w:r w:rsidRPr="00FF5B07">
        <w:rPr>
          <w:sz w:val="20"/>
        </w:rPr>
        <w:fldChar w:fldCharType="end"/>
      </w:r>
      <w:r w:rsidRPr="00FF5B07">
        <w:rPr>
          <w:sz w:val="20"/>
        </w:rPr>
        <w:t>: RACH-less handover to an inter-frequency neighbour cell is feasible.</w:t>
      </w:r>
      <w:bookmarkEnd w:id="11"/>
    </w:p>
    <w:p w14:paraId="5595F16D" w14:textId="6778A6C5" w:rsidR="008C046E" w:rsidRPr="00823A2C" w:rsidRDefault="008C046E" w:rsidP="008C046E">
      <w:pPr>
        <w:rPr>
          <w:lang w:val="en-US" w:eastAsia="zh-CN" w:bidi="hi-IN"/>
        </w:rPr>
      </w:pPr>
      <w:r>
        <w:t>Secondly, RACH-less handover to an asynchronous target cell is also feasible</w:t>
      </w:r>
      <w:r>
        <w:rPr>
          <w:lang w:val="en-US" w:eastAsia="zh-CN" w:bidi="hi-IN"/>
        </w:rPr>
        <w:t>.</w:t>
      </w:r>
      <w:r w:rsidR="006F4362">
        <w:rPr>
          <w:lang w:val="en-US" w:eastAsia="zh-CN" w:bidi="hi-IN"/>
        </w:rPr>
        <w:t xml:space="preserve"> When indicated with</w:t>
      </w:r>
      <w:r>
        <w:rPr>
          <w:lang w:val="en-US" w:eastAsia="zh-CN" w:bidi="hi-IN"/>
        </w:rPr>
        <w:t xml:space="preserve"> </w:t>
      </w:r>
      <w:r w:rsidR="006F4362">
        <w:rPr>
          <w:lang w:val="en-US" w:eastAsia="zh-CN" w:bidi="hi-IN"/>
        </w:rPr>
        <w:t>TA</w:t>
      </w:r>
      <w:r w:rsidR="006F4362">
        <w:rPr>
          <w:vertAlign w:val="subscript"/>
          <w:lang w:val="en-US" w:eastAsia="zh-CN" w:bidi="hi-IN"/>
        </w:rPr>
        <w:t>target</w:t>
      </w:r>
      <w:r w:rsidR="006F4362">
        <w:rPr>
          <w:lang w:val="en-US" w:eastAsia="zh-CN" w:bidi="hi-IN"/>
        </w:rPr>
        <w:t xml:space="preserve">=0, UE will perform PUSCH transmission based on downlink timing of the target cell. Since anyway UE needs to search the target cell, it doesn’t really matter if the target cell is synchronous or asynchronous. </w:t>
      </w:r>
      <w:r w:rsidR="00823A2C">
        <w:rPr>
          <w:lang w:val="en-US" w:eastAsia="zh-CN" w:bidi="hi-IN"/>
        </w:rPr>
        <w:t>As for TA</w:t>
      </w:r>
      <w:r w:rsidR="00823A2C">
        <w:rPr>
          <w:vertAlign w:val="subscript"/>
          <w:lang w:val="en-US" w:eastAsia="zh-CN" w:bidi="hi-IN"/>
        </w:rPr>
        <w:t>target</w:t>
      </w:r>
      <w:r w:rsidR="00823A2C">
        <w:rPr>
          <w:lang w:val="en-US" w:eastAsia="zh-CN" w:bidi="hi-IN"/>
        </w:rPr>
        <w:t>=TA</w:t>
      </w:r>
      <w:r w:rsidR="00823A2C">
        <w:rPr>
          <w:vertAlign w:val="subscript"/>
          <w:lang w:val="en-US" w:eastAsia="zh-CN" w:bidi="hi-IN"/>
        </w:rPr>
        <w:t>source</w:t>
      </w:r>
      <w:r w:rsidR="00823A2C">
        <w:rPr>
          <w:lang w:val="en-US" w:eastAsia="zh-CN" w:bidi="hi-IN"/>
        </w:rPr>
        <w:t>, network can indicate this to the UE as long as the target cell is collocated, regardless it is synchronous or not.</w:t>
      </w:r>
      <w:r w:rsidR="001246FF">
        <w:rPr>
          <w:lang w:val="en-US" w:eastAsia="zh-CN" w:bidi="hi-IN"/>
        </w:rPr>
        <w:t xml:space="preserve"> </w:t>
      </w:r>
    </w:p>
    <w:p w14:paraId="7051F7A8" w14:textId="166F16B1" w:rsidR="0085076C" w:rsidRPr="00FF5B07" w:rsidRDefault="0085076C" w:rsidP="0085076C">
      <w:pPr>
        <w:pStyle w:val="Caption"/>
        <w:rPr>
          <w:sz w:val="20"/>
        </w:rPr>
      </w:pPr>
      <w:bookmarkStart w:id="12" w:name="_Ref4697276"/>
      <w:r w:rsidRPr="00FF5B07">
        <w:rPr>
          <w:sz w:val="20"/>
        </w:rPr>
        <w:t xml:space="preserve">Observation </w:t>
      </w:r>
      <w:r w:rsidRPr="00FF5B07">
        <w:rPr>
          <w:sz w:val="20"/>
        </w:rPr>
        <w:fldChar w:fldCharType="begin"/>
      </w:r>
      <w:r w:rsidRPr="00FF5B07">
        <w:rPr>
          <w:sz w:val="20"/>
        </w:rPr>
        <w:instrText xml:space="preserve"> SEQ Observation \* ARABIC </w:instrText>
      </w:r>
      <w:r w:rsidRPr="00FF5B07">
        <w:rPr>
          <w:sz w:val="20"/>
        </w:rPr>
        <w:fldChar w:fldCharType="separate"/>
      </w:r>
      <w:r w:rsidR="0093691A">
        <w:rPr>
          <w:noProof/>
          <w:sz w:val="20"/>
        </w:rPr>
        <w:t>6</w:t>
      </w:r>
      <w:r w:rsidRPr="00FF5B07">
        <w:rPr>
          <w:sz w:val="20"/>
        </w:rPr>
        <w:fldChar w:fldCharType="end"/>
      </w:r>
      <w:r w:rsidRPr="00FF5B07">
        <w:rPr>
          <w:sz w:val="20"/>
        </w:rPr>
        <w:t xml:space="preserve">: RACH-less handover to an asynchronous </w:t>
      </w:r>
      <w:r w:rsidR="001246FF" w:rsidRPr="00FF5B07">
        <w:rPr>
          <w:sz w:val="20"/>
        </w:rPr>
        <w:t>neighbour cell is feasible.</w:t>
      </w:r>
      <w:bookmarkEnd w:id="12"/>
    </w:p>
    <w:p w14:paraId="3EC62F16" w14:textId="403A6B4C" w:rsidR="001246FF" w:rsidRDefault="005A6070" w:rsidP="001246FF">
      <w:pPr>
        <w:rPr>
          <w:lang w:val="en-US"/>
        </w:rPr>
      </w:pPr>
      <w:r>
        <w:rPr>
          <w:lang w:val="en-US"/>
        </w:rPr>
        <w:t>Another issue is about SCS. In previous agreement, RAN4 confirmed the feasibility of RACH-less handover in NR with assumption that SCS is the same in both source and target cells</w:t>
      </w:r>
      <w:r w:rsidR="00D1486C">
        <w:rPr>
          <w:lang w:val="en-US"/>
        </w:rPr>
        <w:t>. In our understanding if the SCS</w:t>
      </w:r>
      <w:r w:rsidR="00BC5BB2">
        <w:rPr>
          <w:lang w:val="en-US"/>
        </w:rPr>
        <w:t xml:space="preserve"> of PUSCH</w:t>
      </w:r>
      <w:r w:rsidR="00D1486C">
        <w:rPr>
          <w:lang w:val="en-US"/>
        </w:rPr>
        <w:t xml:space="preserve"> in target cell is different from </w:t>
      </w:r>
      <w:r w:rsidR="00BC5BB2">
        <w:rPr>
          <w:lang w:val="en-US"/>
        </w:rPr>
        <w:t xml:space="preserve">that in </w:t>
      </w:r>
      <w:r w:rsidR="00D1486C">
        <w:rPr>
          <w:lang w:val="en-US"/>
        </w:rPr>
        <w:t>source cell, UE may need additional time to prepare the transmission</w:t>
      </w:r>
      <w:r w:rsidR="00BC5BB2">
        <w:rPr>
          <w:lang w:val="en-US"/>
        </w:rPr>
        <w:t xml:space="preserve">. However, we don’t expect a long time for this preparation. </w:t>
      </w:r>
    </w:p>
    <w:p w14:paraId="60C710CC" w14:textId="3CCC83F6" w:rsidR="00987C3C" w:rsidRPr="00FF5B07" w:rsidRDefault="00987C3C" w:rsidP="00987C3C">
      <w:pPr>
        <w:pStyle w:val="Caption"/>
        <w:rPr>
          <w:sz w:val="20"/>
        </w:rPr>
      </w:pPr>
      <w:bookmarkStart w:id="13" w:name="_Ref4697278"/>
      <w:r w:rsidRPr="00FF5B07">
        <w:rPr>
          <w:sz w:val="20"/>
        </w:rPr>
        <w:t xml:space="preserve">Observation </w:t>
      </w:r>
      <w:r w:rsidRPr="00FF5B07">
        <w:rPr>
          <w:sz w:val="20"/>
        </w:rPr>
        <w:fldChar w:fldCharType="begin"/>
      </w:r>
      <w:r w:rsidRPr="00FF5B07">
        <w:rPr>
          <w:sz w:val="20"/>
        </w:rPr>
        <w:instrText xml:space="preserve"> SEQ Observation \* ARABIC </w:instrText>
      </w:r>
      <w:r w:rsidRPr="00FF5B07">
        <w:rPr>
          <w:sz w:val="20"/>
        </w:rPr>
        <w:fldChar w:fldCharType="separate"/>
      </w:r>
      <w:r w:rsidR="0093691A">
        <w:rPr>
          <w:noProof/>
          <w:sz w:val="20"/>
        </w:rPr>
        <w:t>7</w:t>
      </w:r>
      <w:r w:rsidRPr="00FF5B07">
        <w:rPr>
          <w:sz w:val="20"/>
        </w:rPr>
        <w:fldChar w:fldCharType="end"/>
      </w:r>
      <w:r w:rsidRPr="00FF5B07">
        <w:rPr>
          <w:sz w:val="20"/>
        </w:rPr>
        <w:t>: RACH-less handover to a neighbour cell with different SCS is feasible.</w:t>
      </w:r>
      <w:bookmarkEnd w:id="13"/>
    </w:p>
    <w:p w14:paraId="5D402312" w14:textId="0ECC4BF0" w:rsidR="0027383A" w:rsidRPr="0027383A" w:rsidRDefault="0027383A" w:rsidP="0027383A">
      <w:r>
        <w:t>In summary for RACH-less handover, we believe it is feasible for cells of intra/inter-frequency, synchronous and asynchronous, with same or different SCS.</w:t>
      </w:r>
    </w:p>
    <w:p w14:paraId="1C211919" w14:textId="4B9BED7D" w:rsidR="00987C3C" w:rsidRDefault="0027383A" w:rsidP="0027383A">
      <w:pPr>
        <w:pStyle w:val="Caption"/>
        <w:rPr>
          <w:sz w:val="20"/>
        </w:rPr>
      </w:pPr>
      <w:bookmarkStart w:id="14" w:name="_Ref4697283"/>
      <w:r w:rsidRPr="00FF5B07">
        <w:rPr>
          <w:sz w:val="20"/>
        </w:rPr>
        <w:t xml:space="preserve">Proposal </w:t>
      </w:r>
      <w:r w:rsidRPr="00FF5B07">
        <w:rPr>
          <w:sz w:val="20"/>
        </w:rPr>
        <w:fldChar w:fldCharType="begin"/>
      </w:r>
      <w:r w:rsidRPr="00FF5B07">
        <w:rPr>
          <w:sz w:val="20"/>
        </w:rPr>
        <w:instrText xml:space="preserve"> SEQ Proposal \* ARABIC </w:instrText>
      </w:r>
      <w:r w:rsidRPr="00FF5B07">
        <w:rPr>
          <w:sz w:val="20"/>
        </w:rPr>
        <w:fldChar w:fldCharType="separate"/>
      </w:r>
      <w:r w:rsidRPr="00FF5B07">
        <w:rPr>
          <w:sz w:val="20"/>
        </w:rPr>
        <w:t>4</w:t>
      </w:r>
      <w:r w:rsidRPr="00FF5B07">
        <w:rPr>
          <w:sz w:val="20"/>
        </w:rPr>
        <w:fldChar w:fldCharType="end"/>
      </w:r>
      <w:r w:rsidRPr="00FF5B07">
        <w:rPr>
          <w:sz w:val="20"/>
        </w:rPr>
        <w:t xml:space="preserve">: RAN4 confirms the feasibility of RACH-less handover </w:t>
      </w:r>
      <w:r w:rsidR="002C6E76">
        <w:rPr>
          <w:sz w:val="20"/>
        </w:rPr>
        <w:t xml:space="preserve">in FR1 </w:t>
      </w:r>
      <w:r w:rsidRPr="00FF5B07">
        <w:rPr>
          <w:sz w:val="20"/>
        </w:rPr>
        <w:t xml:space="preserve">with </w:t>
      </w:r>
      <w:r w:rsidR="0083600F">
        <w:rPr>
          <w:sz w:val="20"/>
        </w:rPr>
        <w:t>zero</w:t>
      </w:r>
      <w:r w:rsidRPr="00FF5B07">
        <w:rPr>
          <w:sz w:val="20"/>
        </w:rPr>
        <w:t xml:space="preserve"> TA or </w:t>
      </w:r>
      <w:r w:rsidR="0083600F">
        <w:rPr>
          <w:sz w:val="20"/>
        </w:rPr>
        <w:t>same</w:t>
      </w:r>
      <w:r w:rsidRPr="00FF5B07">
        <w:rPr>
          <w:sz w:val="20"/>
        </w:rPr>
        <w:t xml:space="preserve"> TA between source and target cells</w:t>
      </w:r>
      <w:bookmarkEnd w:id="14"/>
    </w:p>
    <w:p w14:paraId="618C49A1" w14:textId="5751A8ED" w:rsidR="0083600F" w:rsidRPr="0083600F" w:rsidRDefault="0083600F" w:rsidP="0083600F">
      <w:pPr>
        <w:pStyle w:val="ListParagraph"/>
        <w:numPr>
          <w:ilvl w:val="0"/>
          <w:numId w:val="27"/>
        </w:numPr>
        <w:rPr>
          <w:rFonts w:ascii="Times New Roman" w:hAnsi="Times New Roman"/>
          <w:b/>
        </w:rPr>
      </w:pPr>
      <w:r w:rsidRPr="0083600F">
        <w:rPr>
          <w:rFonts w:ascii="Times New Roman" w:hAnsi="Times New Roman"/>
          <w:b/>
        </w:rPr>
        <w:t>For both intra and inter-frequency scenarios</w:t>
      </w:r>
    </w:p>
    <w:p w14:paraId="406D8A7F" w14:textId="359A78AF" w:rsidR="0083600F" w:rsidRPr="0083600F" w:rsidRDefault="0083600F" w:rsidP="0083600F">
      <w:pPr>
        <w:pStyle w:val="ListParagraph"/>
        <w:numPr>
          <w:ilvl w:val="0"/>
          <w:numId w:val="27"/>
        </w:numPr>
        <w:rPr>
          <w:rFonts w:ascii="Times New Roman" w:hAnsi="Times New Roman"/>
          <w:b/>
        </w:rPr>
      </w:pPr>
      <w:r w:rsidRPr="0083600F">
        <w:rPr>
          <w:rFonts w:ascii="Times New Roman" w:hAnsi="Times New Roman"/>
          <w:b/>
        </w:rPr>
        <w:t>For both synchronous and asynchronous deployment</w:t>
      </w:r>
    </w:p>
    <w:p w14:paraId="44635417" w14:textId="5E339E25" w:rsidR="0083600F" w:rsidRPr="0083600F" w:rsidRDefault="0083600F" w:rsidP="0083600F">
      <w:pPr>
        <w:pStyle w:val="ListParagraph"/>
        <w:numPr>
          <w:ilvl w:val="0"/>
          <w:numId w:val="27"/>
        </w:numPr>
        <w:rPr>
          <w:rFonts w:ascii="Times New Roman" w:hAnsi="Times New Roman"/>
          <w:b/>
        </w:rPr>
      </w:pPr>
      <w:r w:rsidRPr="0083600F">
        <w:rPr>
          <w:rFonts w:ascii="Times New Roman" w:hAnsi="Times New Roman"/>
          <w:b/>
        </w:rPr>
        <w:t>With same or different SCS in source and target cells</w:t>
      </w:r>
    </w:p>
    <w:p w14:paraId="7D0D80B2" w14:textId="4D5FC5DC" w:rsidR="0083600F" w:rsidRDefault="002C6E76" w:rsidP="0083600F">
      <w:r>
        <w:t xml:space="preserve">When we come to FR2, another aspect needs to be considered is about beam management. </w:t>
      </w:r>
      <w:r w:rsidR="002E48D4">
        <w:t xml:space="preserve">Specifically, how to choose Tx/Rx beam at both UE and BS sides. </w:t>
      </w:r>
      <w:r w:rsidR="002B799B">
        <w:t>Note that the beam we discuss here is mainly about the rough beam, considering that PRACH procedure may not give UE and gNB the fine beam information. The Tx/Rx beam refinement can be done by P2/P3 after UE accesses the target cell.</w:t>
      </w:r>
    </w:p>
    <w:p w14:paraId="5FB195E0" w14:textId="35865AE3" w:rsidR="002E48D4" w:rsidRPr="002E48D4" w:rsidRDefault="002E48D4" w:rsidP="002E48D4">
      <w:pPr>
        <w:pStyle w:val="ListParagraph"/>
        <w:numPr>
          <w:ilvl w:val="0"/>
          <w:numId w:val="28"/>
        </w:numPr>
        <w:rPr>
          <w:rFonts w:ascii="Times New Roman" w:hAnsi="Times New Roman"/>
        </w:rPr>
      </w:pPr>
      <w:r w:rsidRPr="002E48D4">
        <w:rPr>
          <w:rFonts w:ascii="Times New Roman" w:hAnsi="Times New Roman"/>
        </w:rPr>
        <w:t>UE Rx</w:t>
      </w:r>
      <w:r w:rsidR="002B799B">
        <w:rPr>
          <w:rFonts w:ascii="Times New Roman" w:hAnsi="Times New Roman"/>
        </w:rPr>
        <w:t>/Tx</w:t>
      </w:r>
      <w:r w:rsidRPr="002E48D4">
        <w:rPr>
          <w:rFonts w:ascii="Times New Roman" w:hAnsi="Times New Roman"/>
        </w:rPr>
        <w:t xml:space="preserve"> beam selection</w:t>
      </w:r>
    </w:p>
    <w:p w14:paraId="1B46B235" w14:textId="77777777" w:rsidR="002B799B" w:rsidRDefault="002E48D4" w:rsidP="002B799B">
      <w:r>
        <w:t>As mentioned above, UE cannot skip cell search procedure in RACH-less procedure. Thus we can assume UE can still find a suitable Rx beam.</w:t>
      </w:r>
      <w:r w:rsidR="002B799B">
        <w:t xml:space="preserve"> Based on the Rx beam, UE can use corresponding Tx beam for uplink transmission.</w:t>
      </w:r>
    </w:p>
    <w:p w14:paraId="0C956FAB" w14:textId="4E54C8D5" w:rsidR="002E48D4" w:rsidRPr="002B799B" w:rsidRDefault="002B799B" w:rsidP="002B799B">
      <w:pPr>
        <w:pStyle w:val="ListParagraph"/>
        <w:numPr>
          <w:ilvl w:val="0"/>
          <w:numId w:val="28"/>
        </w:numPr>
        <w:rPr>
          <w:rFonts w:ascii="Times New Roman" w:hAnsi="Times New Roman"/>
        </w:rPr>
      </w:pPr>
      <w:r w:rsidRPr="002B799B">
        <w:rPr>
          <w:rFonts w:ascii="Times New Roman" w:hAnsi="Times New Roman"/>
        </w:rPr>
        <w:t xml:space="preserve">gNB Rx/Tx beam selection </w:t>
      </w:r>
    </w:p>
    <w:p w14:paraId="5C902104" w14:textId="578B444D" w:rsidR="002E48D4" w:rsidRDefault="002B799B" w:rsidP="002E48D4">
      <w:pPr>
        <w:rPr>
          <w:lang w:eastAsia="zh-CN"/>
        </w:rPr>
      </w:pPr>
      <w:r>
        <w:t>In legacy handover, the target cell can roughly judge UE location and decide which Rx beam to use based on preamble reception (different RACH resource can be assigned to different SSB and gNB can know based on which SSB UE is trying to access the network)</w:t>
      </w:r>
      <w:r w:rsidR="00DD25ED">
        <w:t xml:space="preserve">, </w:t>
      </w:r>
      <w:r w:rsidR="00DD25ED">
        <w:rPr>
          <w:rFonts w:hint="eastAsia"/>
          <w:lang w:eastAsia="zh-CN"/>
        </w:rPr>
        <w:t>and</w:t>
      </w:r>
      <w:r w:rsidR="00DD25ED">
        <w:rPr>
          <w:lang w:eastAsia="zh-CN"/>
        </w:rPr>
        <w:t xml:space="preserve"> then</w:t>
      </w:r>
      <w:r w:rsidR="008D6DF2">
        <w:rPr>
          <w:lang w:eastAsia="zh-CN"/>
        </w:rPr>
        <w:t xml:space="preserve"> decide which Tx beam to use.</w:t>
      </w:r>
      <w:r w:rsidR="0093691A">
        <w:rPr>
          <w:lang w:eastAsia="zh-CN"/>
        </w:rPr>
        <w:t xml:space="preserve"> </w:t>
      </w:r>
      <w:r w:rsidR="008D6DF2">
        <w:rPr>
          <w:lang w:eastAsia="zh-CN"/>
        </w:rPr>
        <w:t>However, gNB cannot have such information</w:t>
      </w:r>
      <w:r w:rsidR="0093691A">
        <w:rPr>
          <w:lang w:eastAsia="zh-CN"/>
        </w:rPr>
        <w:t xml:space="preserve"> by receiving preamble</w:t>
      </w:r>
      <w:r w:rsidR="008D6DF2" w:rsidRPr="008D6DF2">
        <w:rPr>
          <w:lang w:eastAsia="zh-CN"/>
        </w:rPr>
        <w:t xml:space="preserve"> </w:t>
      </w:r>
      <w:r w:rsidR="008D6DF2">
        <w:rPr>
          <w:lang w:eastAsia="zh-CN"/>
        </w:rPr>
        <w:t>in RACH-less handover</w:t>
      </w:r>
      <w:r w:rsidR="0093691A">
        <w:rPr>
          <w:lang w:eastAsia="zh-CN"/>
        </w:rPr>
        <w:t>. Therefore, in order to enable PUSCH transmission in target cell without gNB beam training, the source cell may have to provide the UE with multiple UL grant, which can be associated with different direction</w:t>
      </w:r>
      <w:r w:rsidR="00141DD9">
        <w:rPr>
          <w:lang w:eastAsia="zh-CN"/>
        </w:rPr>
        <w:t>s</w:t>
      </w:r>
      <w:r w:rsidR="0093691A">
        <w:rPr>
          <w:lang w:eastAsia="zh-CN"/>
        </w:rPr>
        <w:t>, such that based on the PUSCH reception the target cell can roughly know which Tx/Rx to use for the UE. This is similar with non-</w:t>
      </w:r>
      <w:bookmarkStart w:id="15" w:name="OLE_LINK24"/>
      <w:bookmarkStart w:id="16" w:name="OLE_LINK25"/>
      <w:r w:rsidR="0093691A">
        <w:rPr>
          <w:lang w:eastAsia="zh-CN"/>
        </w:rPr>
        <w:t xml:space="preserve">contention </w:t>
      </w:r>
      <w:bookmarkEnd w:id="15"/>
      <w:bookmarkEnd w:id="16"/>
      <w:r w:rsidR="0093691A">
        <w:rPr>
          <w:lang w:eastAsia="zh-CN"/>
        </w:rPr>
        <w:t xml:space="preserve">based PRACH resource pre-allocation in legacy handover command. </w:t>
      </w:r>
      <w:r w:rsidR="0006507D">
        <w:rPr>
          <w:lang w:eastAsia="zh-CN"/>
        </w:rPr>
        <w:t xml:space="preserve">The </w:t>
      </w:r>
      <w:r w:rsidR="0006507D">
        <w:rPr>
          <w:lang w:eastAsia="zh-CN"/>
        </w:rPr>
        <w:lastRenderedPageBreak/>
        <w:t>difference is that reserving multiple resource for PUSCH transmission may degrade the system throughput, since eventually UE will choose only one of them for uplink transmission.</w:t>
      </w:r>
    </w:p>
    <w:p w14:paraId="60672F71" w14:textId="2651FB57" w:rsidR="0093691A" w:rsidRPr="00141DD9" w:rsidRDefault="0093691A" w:rsidP="0093691A">
      <w:pPr>
        <w:pStyle w:val="Caption"/>
        <w:rPr>
          <w:sz w:val="20"/>
          <w:lang w:val="en-US"/>
        </w:rPr>
      </w:pPr>
      <w:bookmarkStart w:id="17" w:name="_Ref4697289"/>
      <w:r w:rsidRPr="00141DD9">
        <w:rPr>
          <w:sz w:val="20"/>
        </w:rPr>
        <w:t xml:space="preserve">Observation </w:t>
      </w:r>
      <w:r w:rsidRPr="00141DD9">
        <w:rPr>
          <w:sz w:val="20"/>
        </w:rPr>
        <w:fldChar w:fldCharType="begin"/>
      </w:r>
      <w:r w:rsidRPr="00141DD9">
        <w:rPr>
          <w:sz w:val="20"/>
        </w:rPr>
        <w:instrText xml:space="preserve"> SEQ Observation \* ARABIC </w:instrText>
      </w:r>
      <w:r w:rsidRPr="00141DD9">
        <w:rPr>
          <w:sz w:val="20"/>
        </w:rPr>
        <w:fldChar w:fldCharType="separate"/>
      </w:r>
      <w:r w:rsidRPr="00141DD9">
        <w:rPr>
          <w:noProof/>
          <w:sz w:val="20"/>
        </w:rPr>
        <w:t>8</w:t>
      </w:r>
      <w:r w:rsidRPr="00141DD9">
        <w:rPr>
          <w:sz w:val="20"/>
        </w:rPr>
        <w:fldChar w:fldCharType="end"/>
      </w:r>
      <w:r w:rsidRPr="00141DD9">
        <w:rPr>
          <w:sz w:val="20"/>
        </w:rPr>
        <w:t xml:space="preserve">: </w:t>
      </w:r>
      <w:r w:rsidR="00957D77" w:rsidRPr="00141DD9">
        <w:rPr>
          <w:sz w:val="20"/>
        </w:rPr>
        <w:t>RACH-less handover to target cell in FR2 is possible</w:t>
      </w:r>
      <w:r w:rsidR="00141DD9" w:rsidRPr="00141DD9">
        <w:rPr>
          <w:sz w:val="20"/>
        </w:rPr>
        <w:t xml:space="preserve">, </w:t>
      </w:r>
      <w:r w:rsidR="00797EDB">
        <w:rPr>
          <w:sz w:val="20"/>
        </w:rPr>
        <w:t>e.g.</w:t>
      </w:r>
      <w:r w:rsidR="00141DD9" w:rsidRPr="00141DD9">
        <w:rPr>
          <w:sz w:val="20"/>
        </w:rPr>
        <w:t xml:space="preserve"> UE </w:t>
      </w:r>
      <w:r w:rsidR="00797EDB">
        <w:rPr>
          <w:sz w:val="20"/>
        </w:rPr>
        <w:t xml:space="preserve">is provided </w:t>
      </w:r>
      <w:r w:rsidR="007548C3">
        <w:rPr>
          <w:sz w:val="20"/>
        </w:rPr>
        <w:t>with</w:t>
      </w:r>
      <w:r w:rsidR="00141DD9" w:rsidRPr="00141DD9">
        <w:rPr>
          <w:sz w:val="20"/>
        </w:rPr>
        <w:t xml:space="preserve"> multiple UL grant</w:t>
      </w:r>
      <w:r w:rsidR="007548C3">
        <w:rPr>
          <w:sz w:val="20"/>
        </w:rPr>
        <w:t>s</w:t>
      </w:r>
      <w:r w:rsidR="00141DD9" w:rsidRPr="00141DD9">
        <w:rPr>
          <w:sz w:val="20"/>
        </w:rPr>
        <w:t xml:space="preserve"> which </w:t>
      </w:r>
      <w:r w:rsidR="007548C3">
        <w:rPr>
          <w:sz w:val="20"/>
        </w:rPr>
        <w:t>are</w:t>
      </w:r>
      <w:r w:rsidR="00141DD9" w:rsidRPr="00141DD9">
        <w:rPr>
          <w:sz w:val="20"/>
        </w:rPr>
        <w:t xml:space="preserve"> associated with different direction</w:t>
      </w:r>
      <w:r w:rsidR="007548C3">
        <w:rPr>
          <w:sz w:val="20"/>
        </w:rPr>
        <w:t>s</w:t>
      </w:r>
      <w:r w:rsidR="00141DD9" w:rsidRPr="00141DD9">
        <w:rPr>
          <w:sz w:val="20"/>
        </w:rPr>
        <w:t>.</w:t>
      </w:r>
      <w:bookmarkEnd w:id="17"/>
      <w:r w:rsidR="00957D77" w:rsidRPr="00141DD9">
        <w:rPr>
          <w:sz w:val="20"/>
        </w:rPr>
        <w:t xml:space="preserve"> </w:t>
      </w:r>
    </w:p>
    <w:p w14:paraId="36381C97" w14:textId="77777777" w:rsidR="00190837" w:rsidRPr="001850A9" w:rsidRDefault="00190837" w:rsidP="001850A9">
      <w:pPr>
        <w:rPr>
          <w:lang w:val="en-US" w:eastAsia="ja-JP" w:bidi="hi-IN"/>
        </w:rPr>
      </w:pPr>
    </w:p>
    <w:p w14:paraId="427727A6" w14:textId="02A6FBFE" w:rsidR="00D05F59" w:rsidRPr="00A137D5" w:rsidRDefault="00004361" w:rsidP="00782D8F">
      <w:pPr>
        <w:pStyle w:val="Heading1"/>
        <w:ind w:left="567" w:hanging="567"/>
        <w:rPr>
          <w:sz w:val="32"/>
        </w:rPr>
      </w:pPr>
      <w:r w:rsidRPr="00A137D5">
        <w:rPr>
          <w:sz w:val="32"/>
        </w:rPr>
        <w:t>Conclusion</w:t>
      </w:r>
    </w:p>
    <w:p w14:paraId="7747A6F2" w14:textId="06AD68A7" w:rsidR="008F291D" w:rsidRDefault="0016225C" w:rsidP="008F291D">
      <w:pPr>
        <w:rPr>
          <w:lang w:eastAsia="zh-CN"/>
        </w:rPr>
      </w:pPr>
      <w:r>
        <w:rPr>
          <w:lang w:eastAsia="zh-CN"/>
        </w:rPr>
        <w:t>I</w:t>
      </w:r>
      <w:r>
        <w:rPr>
          <w:rFonts w:hint="eastAsia"/>
          <w:lang w:eastAsia="zh-CN"/>
        </w:rPr>
        <w:t>n</w:t>
      </w:r>
      <w:r>
        <w:rPr>
          <w:lang w:eastAsia="zh-CN"/>
        </w:rPr>
        <w:t xml:space="preserve"> this contribution, </w:t>
      </w:r>
      <w:r w:rsidR="004E7F88">
        <w:rPr>
          <w:lang w:eastAsia="zh-CN"/>
        </w:rPr>
        <w:t xml:space="preserve">we further discuss the feasibility of DC-based, make-before-break and RACH-less handover with focus on the different design between LTE and NR. </w:t>
      </w:r>
      <w:r w:rsidR="003911D2">
        <w:rPr>
          <w:lang w:eastAsia="zh-CN"/>
        </w:rPr>
        <w:t>After</w:t>
      </w:r>
      <w:r w:rsidR="004E7F88">
        <w:rPr>
          <w:lang w:eastAsia="zh-CN"/>
        </w:rPr>
        <w:t xml:space="preserve"> discussion, the following conclusions are made:</w:t>
      </w:r>
    </w:p>
    <w:p w14:paraId="55B7C132" w14:textId="09E31DDD" w:rsidR="004E7F88" w:rsidRPr="0070200A" w:rsidRDefault="00574BDA" w:rsidP="008F291D">
      <w:pPr>
        <w:rPr>
          <w:b/>
        </w:rPr>
      </w:pPr>
      <w:r w:rsidRPr="0070200A">
        <w:rPr>
          <w:b/>
        </w:rPr>
        <w:fldChar w:fldCharType="begin"/>
      </w:r>
      <w:r w:rsidRPr="0070200A">
        <w:rPr>
          <w:b/>
        </w:rPr>
        <w:instrText xml:space="preserve"> REF _Ref4697218 \h </w:instrText>
      </w:r>
      <w:r w:rsidR="0070200A" w:rsidRPr="0070200A">
        <w:rPr>
          <w:b/>
        </w:rPr>
        <w:instrText xml:space="preserve"> \* MERGEFORMAT </w:instrText>
      </w:r>
      <w:r w:rsidRPr="0070200A">
        <w:rPr>
          <w:b/>
        </w:rPr>
      </w:r>
      <w:r w:rsidRPr="0070200A">
        <w:rPr>
          <w:b/>
        </w:rPr>
        <w:fldChar w:fldCharType="separate"/>
      </w:r>
      <w:r w:rsidRPr="0070200A">
        <w:rPr>
          <w:b/>
          <w:sz w:val="22"/>
          <w:szCs w:val="22"/>
        </w:rPr>
        <w:t xml:space="preserve">Observation </w:t>
      </w:r>
      <w:r w:rsidRPr="0070200A">
        <w:rPr>
          <w:b/>
          <w:noProof/>
          <w:sz w:val="22"/>
          <w:szCs w:val="22"/>
        </w:rPr>
        <w:t>1</w:t>
      </w:r>
      <w:r w:rsidRPr="0070200A">
        <w:rPr>
          <w:b/>
          <w:sz w:val="22"/>
          <w:szCs w:val="22"/>
        </w:rPr>
        <w:t xml:space="preserve">: </w:t>
      </w:r>
      <w:r w:rsidR="003462A5">
        <w:rPr>
          <w:b/>
          <w:sz w:val="22"/>
          <w:szCs w:val="22"/>
        </w:rPr>
        <w:t>extra</w:t>
      </w:r>
      <w:r w:rsidRPr="0070200A">
        <w:rPr>
          <w:b/>
          <w:sz w:val="22"/>
          <w:szCs w:val="22"/>
        </w:rPr>
        <w:t xml:space="preserve"> UE complexity is expected to support simultaneous reception with multiple SCS in multiple cells.</w:t>
      </w:r>
      <w:r w:rsidRPr="0070200A">
        <w:rPr>
          <w:b/>
        </w:rPr>
        <w:fldChar w:fldCharType="end"/>
      </w:r>
    </w:p>
    <w:p w14:paraId="1FF11B1E" w14:textId="443CD8D4" w:rsidR="00574BDA" w:rsidRPr="0070200A" w:rsidRDefault="00574BDA" w:rsidP="008F291D">
      <w:pPr>
        <w:rPr>
          <w:b/>
        </w:rPr>
      </w:pPr>
      <w:r w:rsidRPr="0070200A">
        <w:rPr>
          <w:b/>
        </w:rPr>
        <w:fldChar w:fldCharType="begin"/>
      </w:r>
      <w:r w:rsidRPr="0070200A">
        <w:rPr>
          <w:b/>
        </w:rPr>
        <w:instrText xml:space="preserve"> REF _Ref4697221 \h </w:instrText>
      </w:r>
      <w:r w:rsidR="0070200A" w:rsidRPr="0070200A">
        <w:rPr>
          <w:b/>
        </w:rPr>
        <w:instrText xml:space="preserve"> \* MERGEFORMAT </w:instrText>
      </w:r>
      <w:r w:rsidRPr="0070200A">
        <w:rPr>
          <w:b/>
        </w:rPr>
      </w:r>
      <w:r w:rsidRPr="0070200A">
        <w:rPr>
          <w:b/>
        </w:rPr>
        <w:fldChar w:fldCharType="separate"/>
      </w:r>
      <w:r w:rsidRPr="0070200A">
        <w:rPr>
          <w:b/>
          <w:sz w:val="22"/>
          <w:szCs w:val="22"/>
        </w:rPr>
        <w:t xml:space="preserve">Observation </w:t>
      </w:r>
      <w:r w:rsidRPr="0070200A">
        <w:rPr>
          <w:b/>
          <w:noProof/>
          <w:sz w:val="22"/>
          <w:szCs w:val="22"/>
        </w:rPr>
        <w:t>2</w:t>
      </w:r>
      <w:r w:rsidRPr="0070200A">
        <w:rPr>
          <w:b/>
          <w:sz w:val="22"/>
          <w:szCs w:val="22"/>
        </w:rPr>
        <w:t>: DC-based handover involving cells with different SCS is feasible, depending on UE capability of supporting different SCS.</w:t>
      </w:r>
      <w:r w:rsidRPr="0070200A">
        <w:rPr>
          <w:b/>
        </w:rPr>
        <w:fldChar w:fldCharType="end"/>
      </w:r>
    </w:p>
    <w:p w14:paraId="085C34D6" w14:textId="6D570E4F" w:rsidR="00574BDA" w:rsidRPr="0070200A" w:rsidRDefault="00574BDA" w:rsidP="008F291D">
      <w:pPr>
        <w:rPr>
          <w:b/>
        </w:rPr>
      </w:pPr>
      <w:r w:rsidRPr="0070200A">
        <w:rPr>
          <w:b/>
        </w:rPr>
        <w:fldChar w:fldCharType="begin"/>
      </w:r>
      <w:r w:rsidRPr="0070200A">
        <w:rPr>
          <w:b/>
        </w:rPr>
        <w:instrText xml:space="preserve"> REF _Ref4697224 \h </w:instrText>
      </w:r>
      <w:r w:rsidR="0070200A" w:rsidRPr="0070200A">
        <w:rPr>
          <w:b/>
        </w:rPr>
        <w:instrText xml:space="preserve"> \* MERGEFORMAT </w:instrText>
      </w:r>
      <w:r w:rsidRPr="0070200A">
        <w:rPr>
          <w:b/>
        </w:rPr>
      </w:r>
      <w:r w:rsidRPr="0070200A">
        <w:rPr>
          <w:b/>
        </w:rPr>
        <w:fldChar w:fldCharType="separate"/>
      </w:r>
      <w:r w:rsidRPr="0070200A">
        <w:rPr>
          <w:b/>
          <w:sz w:val="22"/>
          <w:szCs w:val="22"/>
        </w:rPr>
        <w:t xml:space="preserve">Observation </w:t>
      </w:r>
      <w:r w:rsidRPr="0070200A">
        <w:rPr>
          <w:b/>
          <w:noProof/>
          <w:sz w:val="22"/>
          <w:szCs w:val="22"/>
        </w:rPr>
        <w:t>3</w:t>
      </w:r>
      <w:r w:rsidRPr="0070200A">
        <w:rPr>
          <w:b/>
          <w:sz w:val="22"/>
          <w:szCs w:val="22"/>
        </w:rPr>
        <w:t>: current UE capability of supporting multiple SCS cannot be reused to indicate the support of DC-based handover that involves different SCS in source and target cells.</w:t>
      </w:r>
      <w:r w:rsidRPr="0070200A">
        <w:rPr>
          <w:b/>
        </w:rPr>
        <w:fldChar w:fldCharType="end"/>
      </w:r>
    </w:p>
    <w:p w14:paraId="583FF796" w14:textId="3FCCEFF9" w:rsidR="00574BDA" w:rsidRPr="0070200A" w:rsidRDefault="00574BDA" w:rsidP="008F291D">
      <w:pPr>
        <w:rPr>
          <w:b/>
        </w:rPr>
      </w:pPr>
      <w:r w:rsidRPr="0070200A">
        <w:rPr>
          <w:b/>
        </w:rPr>
        <w:fldChar w:fldCharType="begin"/>
      </w:r>
      <w:r w:rsidRPr="0070200A">
        <w:rPr>
          <w:b/>
        </w:rPr>
        <w:instrText xml:space="preserve"> REF _Ref4697229 \h </w:instrText>
      </w:r>
      <w:r w:rsidR="0070200A" w:rsidRPr="0070200A">
        <w:rPr>
          <w:b/>
        </w:rPr>
        <w:instrText xml:space="preserve"> \* MERGEFORMAT </w:instrText>
      </w:r>
      <w:r w:rsidRPr="0070200A">
        <w:rPr>
          <w:b/>
        </w:rPr>
      </w:r>
      <w:r w:rsidRPr="0070200A">
        <w:rPr>
          <w:b/>
        </w:rPr>
        <w:fldChar w:fldCharType="separate"/>
      </w:r>
      <w:r w:rsidRPr="0070200A">
        <w:rPr>
          <w:b/>
          <w:sz w:val="22"/>
          <w:szCs w:val="22"/>
        </w:rPr>
        <w:t xml:space="preserve">Proposal </w:t>
      </w:r>
      <w:r w:rsidRPr="0070200A">
        <w:rPr>
          <w:b/>
          <w:noProof/>
          <w:sz w:val="22"/>
          <w:szCs w:val="22"/>
        </w:rPr>
        <w:t>1</w:t>
      </w:r>
      <w:r w:rsidRPr="0070200A">
        <w:rPr>
          <w:b/>
          <w:sz w:val="22"/>
          <w:szCs w:val="22"/>
        </w:rPr>
        <w:t>: depending on UE capability, DC-based handover that involves differen</w:t>
      </w:r>
      <w:r w:rsidRPr="0070200A">
        <w:rPr>
          <w:rFonts w:hint="eastAsia"/>
          <w:b/>
          <w:sz w:val="22"/>
          <w:szCs w:val="22"/>
          <w:lang w:eastAsia="zh-CN"/>
        </w:rPr>
        <w:t>t</w:t>
      </w:r>
      <w:r w:rsidRPr="0070200A">
        <w:rPr>
          <w:b/>
          <w:sz w:val="22"/>
          <w:szCs w:val="22"/>
          <w:lang w:eastAsia="zh-CN"/>
        </w:rPr>
        <w:t xml:space="preserve"> SCS in source and target cell is feasible.</w:t>
      </w:r>
      <w:r w:rsidRPr="0070200A">
        <w:rPr>
          <w:b/>
        </w:rPr>
        <w:fldChar w:fldCharType="end"/>
      </w:r>
    </w:p>
    <w:p w14:paraId="6C3DBEFF" w14:textId="341F064A" w:rsidR="00574BDA" w:rsidRPr="0070200A" w:rsidRDefault="00574BDA" w:rsidP="008F291D">
      <w:pPr>
        <w:rPr>
          <w:b/>
        </w:rPr>
      </w:pPr>
      <w:r w:rsidRPr="0070200A">
        <w:rPr>
          <w:b/>
        </w:rPr>
        <w:fldChar w:fldCharType="begin"/>
      </w:r>
      <w:r w:rsidRPr="0070200A">
        <w:rPr>
          <w:b/>
        </w:rPr>
        <w:instrText xml:space="preserve"> REF _Ref4697232 \h </w:instrText>
      </w:r>
      <w:r w:rsidR="0070200A" w:rsidRPr="0070200A">
        <w:rPr>
          <w:b/>
        </w:rPr>
        <w:instrText xml:space="preserve"> \* MERGEFORMAT </w:instrText>
      </w:r>
      <w:r w:rsidRPr="0070200A">
        <w:rPr>
          <w:b/>
        </w:rPr>
      </w:r>
      <w:r w:rsidRPr="0070200A">
        <w:rPr>
          <w:b/>
        </w:rPr>
        <w:fldChar w:fldCharType="separate"/>
      </w:r>
      <w:r w:rsidRPr="0070200A">
        <w:rPr>
          <w:b/>
        </w:rPr>
        <w:t xml:space="preserve">Proposal </w:t>
      </w:r>
      <w:r w:rsidRPr="0070200A">
        <w:rPr>
          <w:b/>
          <w:noProof/>
        </w:rPr>
        <w:t>2</w:t>
      </w:r>
      <w:r w:rsidRPr="0070200A">
        <w:rPr>
          <w:b/>
        </w:rPr>
        <w:t xml:space="preserve">: </w:t>
      </w:r>
      <w:r w:rsidRPr="0070200A">
        <w:rPr>
          <w:b/>
          <w:lang w:eastAsia="zh-CN"/>
        </w:rPr>
        <w:t>DC-based handover in FR2 is not considered in this work item, unless the source and target cells are collocated and UE has the QCL information.</w:t>
      </w:r>
      <w:r w:rsidRPr="0070200A">
        <w:rPr>
          <w:b/>
        </w:rPr>
        <w:fldChar w:fldCharType="end"/>
      </w:r>
    </w:p>
    <w:p w14:paraId="7DA67EC4" w14:textId="25410EC4" w:rsidR="00574BDA" w:rsidRPr="0070200A" w:rsidRDefault="00574BDA" w:rsidP="008F291D">
      <w:pPr>
        <w:rPr>
          <w:b/>
        </w:rPr>
      </w:pPr>
      <w:r w:rsidRPr="0070200A">
        <w:rPr>
          <w:b/>
        </w:rPr>
        <w:fldChar w:fldCharType="begin"/>
      </w:r>
      <w:r w:rsidRPr="0070200A">
        <w:rPr>
          <w:b/>
        </w:rPr>
        <w:instrText xml:space="preserve"> REF _Ref4697251 \h </w:instrText>
      </w:r>
      <w:r w:rsidR="0070200A" w:rsidRPr="0070200A">
        <w:rPr>
          <w:b/>
        </w:rPr>
        <w:instrText xml:space="preserve"> \* MERGEFORMAT </w:instrText>
      </w:r>
      <w:r w:rsidRPr="0070200A">
        <w:rPr>
          <w:b/>
        </w:rPr>
      </w:r>
      <w:r w:rsidRPr="0070200A">
        <w:rPr>
          <w:b/>
        </w:rPr>
        <w:fldChar w:fldCharType="separate"/>
      </w:r>
      <w:r w:rsidRPr="0070200A">
        <w:rPr>
          <w:b/>
        </w:rPr>
        <w:t xml:space="preserve">Observation </w:t>
      </w:r>
      <w:r w:rsidRPr="0070200A">
        <w:rPr>
          <w:b/>
          <w:noProof/>
        </w:rPr>
        <w:t>4</w:t>
      </w:r>
      <w:r w:rsidRPr="0070200A">
        <w:rPr>
          <w:b/>
        </w:rPr>
        <w:t xml:space="preserve">: currently in </w:t>
      </w:r>
      <w:r w:rsidRPr="0070200A">
        <w:rPr>
          <w:b/>
          <w:lang w:val="en-US" w:eastAsia="zh-CN" w:bidi="hi-IN"/>
        </w:rPr>
        <w:t xml:space="preserve">RAN4 </w:t>
      </w:r>
      <w:r w:rsidRPr="0070200A">
        <w:rPr>
          <w:rFonts w:hint="eastAsia"/>
          <w:b/>
          <w:lang w:val="en-US" w:eastAsia="zh-CN" w:bidi="hi-IN"/>
        </w:rPr>
        <w:t>LTE</w:t>
      </w:r>
      <w:r w:rsidRPr="0070200A">
        <w:rPr>
          <w:b/>
          <w:lang w:val="en-US" w:eastAsia="zh-CN" w:bidi="hi-IN"/>
        </w:rPr>
        <w:t xml:space="preserve"> requirement, the interrupt time in MBB handover was derived based on the assumption that UE will </w:t>
      </w:r>
      <w:r w:rsidRPr="0070200A">
        <w:rPr>
          <w:b/>
          <w:lang w:val="en-US" w:eastAsia="ja-JP" w:bidi="hi-IN"/>
        </w:rPr>
        <w:t>stop connection with source cell before preamble transmission.</w:t>
      </w:r>
      <w:r w:rsidRPr="0070200A">
        <w:rPr>
          <w:b/>
        </w:rPr>
        <w:fldChar w:fldCharType="end"/>
      </w:r>
    </w:p>
    <w:p w14:paraId="3C73E667" w14:textId="4BE02C6D" w:rsidR="00574BDA" w:rsidRPr="0070200A" w:rsidRDefault="00574BDA" w:rsidP="008F291D">
      <w:pPr>
        <w:rPr>
          <w:b/>
        </w:rPr>
      </w:pPr>
      <w:r w:rsidRPr="0070200A">
        <w:rPr>
          <w:b/>
        </w:rPr>
        <w:fldChar w:fldCharType="begin"/>
      </w:r>
      <w:r w:rsidRPr="0070200A">
        <w:rPr>
          <w:b/>
        </w:rPr>
        <w:instrText xml:space="preserve"> REF _Ref4697257 \h </w:instrText>
      </w:r>
      <w:r w:rsidR="0070200A" w:rsidRPr="0070200A">
        <w:rPr>
          <w:b/>
        </w:rPr>
        <w:instrText xml:space="preserve"> \* MERGEFORMAT </w:instrText>
      </w:r>
      <w:r w:rsidRPr="0070200A">
        <w:rPr>
          <w:b/>
        </w:rPr>
      </w:r>
      <w:r w:rsidRPr="0070200A">
        <w:rPr>
          <w:b/>
        </w:rPr>
        <w:fldChar w:fldCharType="separate"/>
      </w:r>
      <w:r w:rsidRPr="0070200A">
        <w:rPr>
          <w:b/>
        </w:rPr>
        <w:t xml:space="preserve">Proposal </w:t>
      </w:r>
      <w:r w:rsidRPr="0070200A">
        <w:rPr>
          <w:b/>
          <w:noProof/>
        </w:rPr>
        <w:t>3</w:t>
      </w:r>
      <w:r w:rsidRPr="0070200A">
        <w:rPr>
          <w:b/>
        </w:rPr>
        <w:t>: when discussing the feasibility of make-before-break handover in NR, RAN4 assumes UE will stop connection with source cell before preamble transmission.</w:t>
      </w:r>
      <w:r w:rsidRPr="0070200A">
        <w:rPr>
          <w:b/>
        </w:rPr>
        <w:fldChar w:fldCharType="end"/>
      </w:r>
    </w:p>
    <w:p w14:paraId="5CADFB53" w14:textId="7215266A" w:rsidR="00574BDA" w:rsidRPr="0070200A" w:rsidRDefault="00574BDA" w:rsidP="008F291D">
      <w:pPr>
        <w:rPr>
          <w:b/>
        </w:rPr>
      </w:pPr>
      <w:r w:rsidRPr="0070200A">
        <w:rPr>
          <w:b/>
        </w:rPr>
        <w:fldChar w:fldCharType="begin"/>
      </w:r>
      <w:r w:rsidRPr="0070200A">
        <w:rPr>
          <w:b/>
        </w:rPr>
        <w:instrText xml:space="preserve"> REF _Ref4697274 \h </w:instrText>
      </w:r>
      <w:r w:rsidR="0070200A" w:rsidRPr="0070200A">
        <w:rPr>
          <w:b/>
        </w:rPr>
        <w:instrText xml:space="preserve"> \* MERGEFORMAT </w:instrText>
      </w:r>
      <w:r w:rsidRPr="0070200A">
        <w:rPr>
          <w:b/>
        </w:rPr>
      </w:r>
      <w:r w:rsidRPr="0070200A">
        <w:rPr>
          <w:b/>
        </w:rPr>
        <w:fldChar w:fldCharType="separate"/>
      </w:r>
      <w:r w:rsidRPr="0070200A">
        <w:rPr>
          <w:b/>
        </w:rPr>
        <w:t xml:space="preserve">Observation </w:t>
      </w:r>
      <w:r w:rsidRPr="0070200A">
        <w:rPr>
          <w:b/>
          <w:noProof/>
        </w:rPr>
        <w:t>5</w:t>
      </w:r>
      <w:r w:rsidRPr="0070200A">
        <w:rPr>
          <w:b/>
        </w:rPr>
        <w:t>: RACH-less handover to an inter-frequency neighbour cell is feasible.</w:t>
      </w:r>
      <w:r w:rsidRPr="0070200A">
        <w:rPr>
          <w:b/>
        </w:rPr>
        <w:fldChar w:fldCharType="end"/>
      </w:r>
    </w:p>
    <w:p w14:paraId="6A776DAA" w14:textId="306FA207" w:rsidR="00574BDA" w:rsidRPr="0070200A" w:rsidRDefault="00574BDA" w:rsidP="008F291D">
      <w:pPr>
        <w:rPr>
          <w:b/>
        </w:rPr>
      </w:pPr>
      <w:r w:rsidRPr="0070200A">
        <w:rPr>
          <w:b/>
        </w:rPr>
        <w:fldChar w:fldCharType="begin"/>
      </w:r>
      <w:r w:rsidRPr="0070200A">
        <w:rPr>
          <w:b/>
        </w:rPr>
        <w:instrText xml:space="preserve"> REF _Ref4697276 \h </w:instrText>
      </w:r>
      <w:r w:rsidR="0070200A" w:rsidRPr="0070200A">
        <w:rPr>
          <w:b/>
        </w:rPr>
        <w:instrText xml:space="preserve"> \* MERGEFORMAT </w:instrText>
      </w:r>
      <w:r w:rsidRPr="0070200A">
        <w:rPr>
          <w:b/>
        </w:rPr>
      </w:r>
      <w:r w:rsidRPr="0070200A">
        <w:rPr>
          <w:b/>
        </w:rPr>
        <w:fldChar w:fldCharType="separate"/>
      </w:r>
      <w:r w:rsidRPr="0070200A">
        <w:rPr>
          <w:b/>
        </w:rPr>
        <w:t xml:space="preserve">Observation </w:t>
      </w:r>
      <w:r w:rsidRPr="0070200A">
        <w:rPr>
          <w:b/>
          <w:noProof/>
        </w:rPr>
        <w:t>6</w:t>
      </w:r>
      <w:r w:rsidRPr="0070200A">
        <w:rPr>
          <w:b/>
        </w:rPr>
        <w:t>: RACH-less handover to an asynchronous neighbour cell is feasible.</w:t>
      </w:r>
      <w:r w:rsidRPr="0070200A">
        <w:rPr>
          <w:b/>
        </w:rPr>
        <w:fldChar w:fldCharType="end"/>
      </w:r>
    </w:p>
    <w:p w14:paraId="6C3D882C" w14:textId="45A7A136" w:rsidR="00574BDA" w:rsidRPr="0070200A" w:rsidRDefault="00574BDA" w:rsidP="008F291D">
      <w:pPr>
        <w:rPr>
          <w:b/>
        </w:rPr>
      </w:pPr>
      <w:r w:rsidRPr="0070200A">
        <w:rPr>
          <w:b/>
        </w:rPr>
        <w:fldChar w:fldCharType="begin"/>
      </w:r>
      <w:r w:rsidRPr="0070200A">
        <w:rPr>
          <w:b/>
        </w:rPr>
        <w:instrText xml:space="preserve"> REF _Ref4697278 \h </w:instrText>
      </w:r>
      <w:r w:rsidR="0070200A" w:rsidRPr="0070200A">
        <w:rPr>
          <w:b/>
        </w:rPr>
        <w:instrText xml:space="preserve"> \* MERGEFORMAT </w:instrText>
      </w:r>
      <w:r w:rsidRPr="0070200A">
        <w:rPr>
          <w:b/>
        </w:rPr>
      </w:r>
      <w:r w:rsidRPr="0070200A">
        <w:rPr>
          <w:b/>
        </w:rPr>
        <w:fldChar w:fldCharType="separate"/>
      </w:r>
      <w:r w:rsidRPr="0070200A">
        <w:rPr>
          <w:b/>
        </w:rPr>
        <w:t xml:space="preserve">Observation </w:t>
      </w:r>
      <w:r w:rsidRPr="0070200A">
        <w:rPr>
          <w:b/>
          <w:noProof/>
        </w:rPr>
        <w:t>7</w:t>
      </w:r>
      <w:r w:rsidRPr="0070200A">
        <w:rPr>
          <w:b/>
        </w:rPr>
        <w:t>: RACH-less handover to a neighbour cell with different SCS is feasible.</w:t>
      </w:r>
      <w:r w:rsidRPr="0070200A">
        <w:rPr>
          <w:b/>
        </w:rPr>
        <w:fldChar w:fldCharType="end"/>
      </w:r>
    </w:p>
    <w:p w14:paraId="20465905" w14:textId="4AE07713" w:rsidR="00574BDA" w:rsidRPr="0070200A" w:rsidRDefault="00574BDA" w:rsidP="008F291D">
      <w:pPr>
        <w:rPr>
          <w:b/>
        </w:rPr>
      </w:pPr>
      <w:r w:rsidRPr="0070200A">
        <w:rPr>
          <w:b/>
        </w:rPr>
        <w:fldChar w:fldCharType="begin"/>
      </w:r>
      <w:r w:rsidRPr="0070200A">
        <w:rPr>
          <w:b/>
        </w:rPr>
        <w:instrText xml:space="preserve"> REF _Ref4697283 \h </w:instrText>
      </w:r>
      <w:r w:rsidR="0070200A" w:rsidRPr="0070200A">
        <w:rPr>
          <w:b/>
        </w:rPr>
        <w:instrText xml:space="preserve"> \* MERGEFORMAT </w:instrText>
      </w:r>
      <w:r w:rsidRPr="0070200A">
        <w:rPr>
          <w:b/>
        </w:rPr>
      </w:r>
      <w:r w:rsidRPr="0070200A">
        <w:rPr>
          <w:b/>
        </w:rPr>
        <w:fldChar w:fldCharType="separate"/>
      </w:r>
      <w:r w:rsidRPr="0070200A">
        <w:rPr>
          <w:b/>
        </w:rPr>
        <w:t>Proposal 4: RAN4 confirms the feasibility of RACH-less handover in FR1 with zero TA or same TA between source and target cells</w:t>
      </w:r>
      <w:r w:rsidRPr="0070200A">
        <w:rPr>
          <w:b/>
        </w:rPr>
        <w:fldChar w:fldCharType="end"/>
      </w:r>
    </w:p>
    <w:p w14:paraId="4B9BD64B" w14:textId="2044E14E" w:rsidR="00574BDA" w:rsidRPr="0070200A" w:rsidRDefault="00574BDA" w:rsidP="008F291D">
      <w:pPr>
        <w:rPr>
          <w:b/>
        </w:rPr>
      </w:pPr>
      <w:r w:rsidRPr="0070200A">
        <w:rPr>
          <w:b/>
        </w:rPr>
        <w:fldChar w:fldCharType="begin"/>
      </w:r>
      <w:r w:rsidRPr="0070200A">
        <w:rPr>
          <w:b/>
        </w:rPr>
        <w:instrText xml:space="preserve"> REF _Ref4697289 \h </w:instrText>
      </w:r>
      <w:r w:rsidR="0070200A" w:rsidRPr="0070200A">
        <w:rPr>
          <w:b/>
        </w:rPr>
        <w:instrText xml:space="preserve"> \* MERGEFORMAT </w:instrText>
      </w:r>
      <w:r w:rsidRPr="0070200A">
        <w:rPr>
          <w:b/>
        </w:rPr>
      </w:r>
      <w:r w:rsidRPr="0070200A">
        <w:rPr>
          <w:b/>
        </w:rPr>
        <w:fldChar w:fldCharType="separate"/>
      </w:r>
      <w:r w:rsidR="0023043D" w:rsidRPr="0023043D">
        <w:rPr>
          <w:b/>
        </w:rPr>
        <w:t xml:space="preserve">Observation </w:t>
      </w:r>
      <w:r w:rsidR="0023043D" w:rsidRPr="0023043D">
        <w:rPr>
          <w:b/>
          <w:noProof/>
        </w:rPr>
        <w:t>8</w:t>
      </w:r>
      <w:r w:rsidR="0023043D" w:rsidRPr="0023043D">
        <w:rPr>
          <w:b/>
        </w:rPr>
        <w:t>: RACH-less handover to target cell in FR2 is possible, e.g. UE is provided with multiple UL grants which are associated with different directions</w:t>
      </w:r>
      <w:r w:rsidR="0023043D" w:rsidRPr="00141DD9">
        <w:t>.</w:t>
      </w:r>
      <w:r w:rsidRPr="0070200A">
        <w:rPr>
          <w:b/>
        </w:rPr>
        <w:fldChar w:fldCharType="end"/>
      </w:r>
    </w:p>
    <w:p w14:paraId="5A94C8B7" w14:textId="77777777" w:rsidR="006D474C" w:rsidRPr="006D474C" w:rsidRDefault="006D474C" w:rsidP="00902C2C">
      <w:pPr>
        <w:rPr>
          <w:rFonts w:eastAsiaTheme="minorEastAsia"/>
          <w:b/>
          <w:lang w:val="en-US" w:eastAsia="zh-CN"/>
        </w:rPr>
      </w:pPr>
    </w:p>
    <w:p w14:paraId="2056CA9D" w14:textId="77777777" w:rsidR="00D05F59" w:rsidRPr="003F302D" w:rsidRDefault="00D05F59" w:rsidP="005D2062">
      <w:pPr>
        <w:pStyle w:val="Heading1"/>
        <w:numPr>
          <w:ilvl w:val="0"/>
          <w:numId w:val="0"/>
        </w:numPr>
        <w:ind w:left="567" w:hanging="567"/>
        <w:rPr>
          <w:sz w:val="32"/>
          <w:lang w:val="en-US"/>
        </w:rPr>
      </w:pPr>
      <w:r w:rsidRPr="00A137D5">
        <w:rPr>
          <w:sz w:val="32"/>
        </w:rPr>
        <w:t>References</w:t>
      </w:r>
    </w:p>
    <w:p w14:paraId="30B1D8C0" w14:textId="6F029043" w:rsidR="00D42CC6" w:rsidRDefault="00C0460F" w:rsidP="00C0460F">
      <w:pPr>
        <w:pStyle w:val="ListParagraph"/>
        <w:numPr>
          <w:ilvl w:val="0"/>
          <w:numId w:val="8"/>
        </w:numPr>
        <w:rPr>
          <w:rFonts w:ascii="Times New Roman" w:hAnsi="Times New Roman"/>
          <w:sz w:val="20"/>
          <w:szCs w:val="20"/>
        </w:rPr>
      </w:pPr>
      <w:r w:rsidRPr="00C0460F">
        <w:rPr>
          <w:rFonts w:ascii="Times New Roman" w:hAnsi="Times New Roman"/>
          <w:sz w:val="20"/>
          <w:szCs w:val="20"/>
        </w:rPr>
        <w:t>RP-190489</w:t>
      </w:r>
      <w:r w:rsidR="004253CF">
        <w:rPr>
          <w:rFonts w:ascii="Times New Roman" w:hAnsi="Times New Roman"/>
          <w:sz w:val="20"/>
          <w:szCs w:val="20"/>
        </w:rPr>
        <w:t xml:space="preserve">, </w:t>
      </w:r>
      <w:r w:rsidR="004253CF" w:rsidRPr="004253CF">
        <w:rPr>
          <w:rFonts w:ascii="Times New Roman" w:hAnsi="Times New Roman"/>
          <w:sz w:val="20"/>
          <w:szCs w:val="20"/>
        </w:rPr>
        <w:t>New WID: NR mobility enhancements</w:t>
      </w:r>
      <w:r w:rsidR="004253CF">
        <w:rPr>
          <w:rFonts w:ascii="Times New Roman" w:hAnsi="Times New Roman"/>
          <w:sz w:val="20"/>
          <w:szCs w:val="20"/>
        </w:rPr>
        <w:t xml:space="preserve">, </w:t>
      </w:r>
      <w:r w:rsidR="004253CF" w:rsidRPr="004253CF">
        <w:rPr>
          <w:rFonts w:ascii="Times New Roman" w:hAnsi="Times New Roman"/>
          <w:sz w:val="20"/>
          <w:szCs w:val="20"/>
        </w:rPr>
        <w:t>Intel Corporation</w:t>
      </w:r>
    </w:p>
    <w:p w14:paraId="35473B5E" w14:textId="757292C1" w:rsidR="009B545C" w:rsidRPr="00C7000E" w:rsidRDefault="009B545C" w:rsidP="009B545C">
      <w:pPr>
        <w:pStyle w:val="ListParagraph"/>
        <w:numPr>
          <w:ilvl w:val="0"/>
          <w:numId w:val="8"/>
        </w:numPr>
        <w:rPr>
          <w:rFonts w:ascii="Times New Roman" w:hAnsi="Times New Roman"/>
          <w:sz w:val="20"/>
          <w:szCs w:val="20"/>
        </w:rPr>
      </w:pPr>
      <w:r w:rsidRPr="009B545C">
        <w:rPr>
          <w:rFonts w:ascii="Times New Roman" w:hAnsi="Times New Roman"/>
          <w:sz w:val="20"/>
          <w:szCs w:val="20"/>
        </w:rPr>
        <w:t>R4-1902547</w:t>
      </w:r>
      <w:r>
        <w:rPr>
          <w:rFonts w:ascii="Times New Roman" w:hAnsi="Times New Roman"/>
          <w:sz w:val="20"/>
          <w:szCs w:val="20"/>
        </w:rPr>
        <w:t xml:space="preserve">, </w:t>
      </w:r>
      <w:r w:rsidRPr="009B545C">
        <w:rPr>
          <w:rFonts w:ascii="Times New Roman" w:hAnsi="Times New Roman"/>
          <w:sz w:val="20"/>
          <w:szCs w:val="20"/>
          <w:lang w:val="en-GB"/>
        </w:rPr>
        <w:t>Way forward on R16 NR mobility enhancement</w:t>
      </w:r>
      <w:r>
        <w:rPr>
          <w:rFonts w:ascii="Times New Roman" w:hAnsi="Times New Roman"/>
          <w:sz w:val="20"/>
          <w:szCs w:val="20"/>
          <w:lang w:val="en-GB"/>
        </w:rPr>
        <w:t>, Intel</w:t>
      </w:r>
    </w:p>
    <w:p w14:paraId="2A6A9F16" w14:textId="50C2B1AD" w:rsidR="00C7000E" w:rsidRDefault="00C7000E" w:rsidP="00C7000E">
      <w:pPr>
        <w:pStyle w:val="ListParagraph"/>
        <w:numPr>
          <w:ilvl w:val="0"/>
          <w:numId w:val="8"/>
        </w:numPr>
        <w:rPr>
          <w:rFonts w:ascii="Times New Roman" w:hAnsi="Times New Roman"/>
          <w:sz w:val="20"/>
          <w:szCs w:val="20"/>
        </w:rPr>
      </w:pPr>
      <w:r w:rsidRPr="00C7000E">
        <w:rPr>
          <w:rFonts w:ascii="Times New Roman" w:hAnsi="Times New Roman"/>
          <w:sz w:val="20"/>
          <w:szCs w:val="20"/>
        </w:rPr>
        <w:t>R4-1902030</w:t>
      </w:r>
      <w:r>
        <w:rPr>
          <w:rFonts w:ascii="Times New Roman" w:hAnsi="Times New Roman"/>
          <w:sz w:val="20"/>
          <w:szCs w:val="20"/>
        </w:rPr>
        <w:t xml:space="preserve">, </w:t>
      </w:r>
      <w:r w:rsidRPr="00C7000E">
        <w:rPr>
          <w:rFonts w:ascii="Times New Roman" w:hAnsi="Times New Roman"/>
          <w:sz w:val="20"/>
          <w:szCs w:val="20"/>
        </w:rPr>
        <w:t>Reply LS on the interruption time during mobility in LTE</w:t>
      </w:r>
      <w:r>
        <w:rPr>
          <w:rFonts w:ascii="Times New Roman" w:hAnsi="Times New Roman"/>
          <w:sz w:val="20"/>
          <w:szCs w:val="20"/>
        </w:rPr>
        <w:t xml:space="preserve">, </w:t>
      </w:r>
      <w:r w:rsidR="00BA65A6">
        <w:rPr>
          <w:rFonts w:ascii="Times New Roman" w:hAnsi="Times New Roman"/>
          <w:sz w:val="20"/>
          <w:szCs w:val="20"/>
        </w:rPr>
        <w:t>Huawei, HiSilicon</w:t>
      </w:r>
    </w:p>
    <w:p w14:paraId="42CDB41E" w14:textId="00C29044" w:rsidR="00632E75" w:rsidRDefault="00632E75" w:rsidP="00632E75">
      <w:pPr>
        <w:pStyle w:val="ListParagraph"/>
        <w:numPr>
          <w:ilvl w:val="0"/>
          <w:numId w:val="8"/>
        </w:numPr>
        <w:rPr>
          <w:rFonts w:ascii="Times New Roman" w:hAnsi="Times New Roman"/>
          <w:sz w:val="20"/>
          <w:szCs w:val="20"/>
        </w:rPr>
      </w:pPr>
      <w:r w:rsidRPr="00632E75">
        <w:rPr>
          <w:rFonts w:ascii="Times New Roman" w:hAnsi="Times New Roman"/>
          <w:sz w:val="20"/>
          <w:szCs w:val="20"/>
        </w:rPr>
        <w:t>R2-164565</w:t>
      </w:r>
      <w:r>
        <w:rPr>
          <w:rFonts w:ascii="Times New Roman" w:hAnsi="Times New Roman"/>
          <w:sz w:val="20"/>
          <w:szCs w:val="20"/>
        </w:rPr>
        <w:t xml:space="preserve">, </w:t>
      </w:r>
      <w:r w:rsidRPr="00632E75">
        <w:rPr>
          <w:rFonts w:ascii="Times New Roman" w:hAnsi="Times New Roman"/>
          <w:sz w:val="20"/>
          <w:szCs w:val="20"/>
        </w:rPr>
        <w:t>RACH-less solutions</w:t>
      </w:r>
      <w:r>
        <w:rPr>
          <w:rFonts w:ascii="Times New Roman" w:hAnsi="Times New Roman"/>
          <w:sz w:val="20"/>
          <w:szCs w:val="20"/>
        </w:rPr>
        <w:t xml:space="preserve">, </w:t>
      </w:r>
      <w:r w:rsidRPr="00632E75">
        <w:rPr>
          <w:rFonts w:ascii="Times New Roman" w:hAnsi="Times New Roman"/>
          <w:sz w:val="20"/>
          <w:szCs w:val="20"/>
        </w:rPr>
        <w:t>ZTE Corporation, Nokia, CATT, Qualcomm Incorporated</w:t>
      </w:r>
    </w:p>
    <w:p w14:paraId="39B892EF" w14:textId="470AB75F" w:rsidR="007F24CB" w:rsidRDefault="007F24CB" w:rsidP="006D474C"/>
    <w:p w14:paraId="1AA4E40E" w14:textId="77777777" w:rsidR="00632E75" w:rsidRDefault="00632E75" w:rsidP="006D474C"/>
    <w:p w14:paraId="160F5269" w14:textId="77777777" w:rsidR="00563E4F" w:rsidRDefault="00563E4F" w:rsidP="006D474C"/>
    <w:p w14:paraId="263709FE" w14:textId="77777777" w:rsidR="00563E4F" w:rsidRPr="006D474C" w:rsidRDefault="00563E4F" w:rsidP="006D474C"/>
    <w:sectPr w:rsidR="00563E4F" w:rsidRPr="006D474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E61CC" w14:textId="77777777" w:rsidR="00961E68" w:rsidRDefault="00961E68">
      <w:r>
        <w:separator/>
      </w:r>
    </w:p>
  </w:endnote>
  <w:endnote w:type="continuationSeparator" w:id="0">
    <w:p w14:paraId="6BB701C2" w14:textId="77777777" w:rsidR="00961E68" w:rsidRDefault="00961E68">
      <w:r>
        <w:continuationSeparator/>
      </w:r>
    </w:p>
  </w:endnote>
  <w:endnote w:type="continuationNotice" w:id="1">
    <w:p w14:paraId="25E433D2" w14:textId="77777777" w:rsidR="00961E68" w:rsidRDefault="00961E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DD25ED" w:rsidRDefault="00DD25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DD25ED" w:rsidRDefault="00DD25E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DD25ED" w:rsidRPr="00DB1239" w:rsidRDefault="00DD25E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273C7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3C7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8FC45" w14:textId="77777777" w:rsidR="00961E68" w:rsidRDefault="00961E68">
      <w:r>
        <w:separator/>
      </w:r>
    </w:p>
  </w:footnote>
  <w:footnote w:type="continuationSeparator" w:id="0">
    <w:p w14:paraId="4D2B2FB8" w14:textId="77777777" w:rsidR="00961E68" w:rsidRDefault="00961E68">
      <w:r>
        <w:continuationSeparator/>
      </w:r>
    </w:p>
  </w:footnote>
  <w:footnote w:type="continuationNotice" w:id="1">
    <w:p w14:paraId="01933899" w14:textId="77777777" w:rsidR="00961E68" w:rsidRDefault="00961E68">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DD25ED" w:rsidRDefault="00DD25E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E04772"/>
    <w:multiLevelType w:val="hybridMultilevel"/>
    <w:tmpl w:val="3D32FF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D8645D"/>
    <w:multiLevelType w:val="hybridMultilevel"/>
    <w:tmpl w:val="FDC65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9D672A"/>
    <w:multiLevelType w:val="hybridMultilevel"/>
    <w:tmpl w:val="11205B28"/>
    <w:lvl w:ilvl="0" w:tplc="904E7BB0">
      <w:start w:val="1"/>
      <w:numFmt w:val="bullet"/>
      <w:lvlText w:val=""/>
      <w:lvlJc w:val="left"/>
      <w:pPr>
        <w:tabs>
          <w:tab w:val="num" w:pos="720"/>
        </w:tabs>
        <w:ind w:left="720" w:hanging="360"/>
      </w:pPr>
      <w:rPr>
        <w:rFonts w:ascii="Wingdings" w:hAnsi="Wingdings" w:hint="default"/>
      </w:rPr>
    </w:lvl>
    <w:lvl w:ilvl="1" w:tplc="6C50BC66">
      <w:start w:val="88"/>
      <w:numFmt w:val="bullet"/>
      <w:lvlText w:val=""/>
      <w:lvlJc w:val="left"/>
      <w:pPr>
        <w:tabs>
          <w:tab w:val="num" w:pos="1440"/>
        </w:tabs>
        <w:ind w:left="1440" w:hanging="360"/>
      </w:pPr>
      <w:rPr>
        <w:rFonts w:ascii="Wingdings" w:hAnsi="Wingdings" w:hint="default"/>
      </w:rPr>
    </w:lvl>
    <w:lvl w:ilvl="2" w:tplc="383CE970" w:tentative="1">
      <w:start w:val="1"/>
      <w:numFmt w:val="bullet"/>
      <w:lvlText w:val=""/>
      <w:lvlJc w:val="left"/>
      <w:pPr>
        <w:tabs>
          <w:tab w:val="num" w:pos="2160"/>
        </w:tabs>
        <w:ind w:left="2160" w:hanging="360"/>
      </w:pPr>
      <w:rPr>
        <w:rFonts w:ascii="Wingdings" w:hAnsi="Wingdings" w:hint="default"/>
      </w:rPr>
    </w:lvl>
    <w:lvl w:ilvl="3" w:tplc="F356D1FC" w:tentative="1">
      <w:start w:val="1"/>
      <w:numFmt w:val="bullet"/>
      <w:lvlText w:val=""/>
      <w:lvlJc w:val="left"/>
      <w:pPr>
        <w:tabs>
          <w:tab w:val="num" w:pos="2880"/>
        </w:tabs>
        <w:ind w:left="2880" w:hanging="360"/>
      </w:pPr>
      <w:rPr>
        <w:rFonts w:ascii="Wingdings" w:hAnsi="Wingdings" w:hint="default"/>
      </w:rPr>
    </w:lvl>
    <w:lvl w:ilvl="4" w:tplc="6136D996" w:tentative="1">
      <w:start w:val="1"/>
      <w:numFmt w:val="bullet"/>
      <w:lvlText w:val=""/>
      <w:lvlJc w:val="left"/>
      <w:pPr>
        <w:tabs>
          <w:tab w:val="num" w:pos="3600"/>
        </w:tabs>
        <w:ind w:left="3600" w:hanging="360"/>
      </w:pPr>
      <w:rPr>
        <w:rFonts w:ascii="Wingdings" w:hAnsi="Wingdings" w:hint="default"/>
      </w:rPr>
    </w:lvl>
    <w:lvl w:ilvl="5" w:tplc="F2D6C058" w:tentative="1">
      <w:start w:val="1"/>
      <w:numFmt w:val="bullet"/>
      <w:lvlText w:val=""/>
      <w:lvlJc w:val="left"/>
      <w:pPr>
        <w:tabs>
          <w:tab w:val="num" w:pos="4320"/>
        </w:tabs>
        <w:ind w:left="4320" w:hanging="360"/>
      </w:pPr>
      <w:rPr>
        <w:rFonts w:ascii="Wingdings" w:hAnsi="Wingdings" w:hint="default"/>
      </w:rPr>
    </w:lvl>
    <w:lvl w:ilvl="6" w:tplc="9E20B50A" w:tentative="1">
      <w:start w:val="1"/>
      <w:numFmt w:val="bullet"/>
      <w:lvlText w:val=""/>
      <w:lvlJc w:val="left"/>
      <w:pPr>
        <w:tabs>
          <w:tab w:val="num" w:pos="5040"/>
        </w:tabs>
        <w:ind w:left="5040" w:hanging="360"/>
      </w:pPr>
      <w:rPr>
        <w:rFonts w:ascii="Wingdings" w:hAnsi="Wingdings" w:hint="default"/>
      </w:rPr>
    </w:lvl>
    <w:lvl w:ilvl="7" w:tplc="D6E6D520" w:tentative="1">
      <w:start w:val="1"/>
      <w:numFmt w:val="bullet"/>
      <w:lvlText w:val=""/>
      <w:lvlJc w:val="left"/>
      <w:pPr>
        <w:tabs>
          <w:tab w:val="num" w:pos="5760"/>
        </w:tabs>
        <w:ind w:left="5760" w:hanging="360"/>
      </w:pPr>
      <w:rPr>
        <w:rFonts w:ascii="Wingdings" w:hAnsi="Wingdings" w:hint="default"/>
      </w:rPr>
    </w:lvl>
    <w:lvl w:ilvl="8" w:tplc="D30625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0C6521AE"/>
    <w:multiLevelType w:val="hybridMultilevel"/>
    <w:tmpl w:val="A4AE4758"/>
    <w:lvl w:ilvl="0" w:tplc="6A42CB7A">
      <w:start w:val="1"/>
      <w:numFmt w:val="bullet"/>
      <w:lvlText w:val=""/>
      <w:lvlJc w:val="left"/>
      <w:pPr>
        <w:tabs>
          <w:tab w:val="num" w:pos="720"/>
        </w:tabs>
        <w:ind w:left="720" w:hanging="360"/>
      </w:pPr>
      <w:rPr>
        <w:rFonts w:ascii="Wingdings" w:hAnsi="Wingdings" w:hint="default"/>
      </w:rPr>
    </w:lvl>
    <w:lvl w:ilvl="1" w:tplc="A7BC4F32">
      <w:start w:val="1"/>
      <w:numFmt w:val="bullet"/>
      <w:lvlText w:val=""/>
      <w:lvlJc w:val="left"/>
      <w:pPr>
        <w:tabs>
          <w:tab w:val="num" w:pos="1440"/>
        </w:tabs>
        <w:ind w:left="1440" w:hanging="360"/>
      </w:pPr>
      <w:rPr>
        <w:rFonts w:ascii="Wingdings" w:hAnsi="Wingdings" w:hint="default"/>
      </w:rPr>
    </w:lvl>
    <w:lvl w:ilvl="2" w:tplc="9A287DBC" w:tentative="1">
      <w:start w:val="1"/>
      <w:numFmt w:val="bullet"/>
      <w:lvlText w:val=""/>
      <w:lvlJc w:val="left"/>
      <w:pPr>
        <w:tabs>
          <w:tab w:val="num" w:pos="2160"/>
        </w:tabs>
        <w:ind w:left="2160" w:hanging="360"/>
      </w:pPr>
      <w:rPr>
        <w:rFonts w:ascii="Wingdings" w:hAnsi="Wingdings" w:hint="default"/>
      </w:rPr>
    </w:lvl>
    <w:lvl w:ilvl="3" w:tplc="233CFF3C" w:tentative="1">
      <w:start w:val="1"/>
      <w:numFmt w:val="bullet"/>
      <w:lvlText w:val=""/>
      <w:lvlJc w:val="left"/>
      <w:pPr>
        <w:tabs>
          <w:tab w:val="num" w:pos="2880"/>
        </w:tabs>
        <w:ind w:left="2880" w:hanging="360"/>
      </w:pPr>
      <w:rPr>
        <w:rFonts w:ascii="Wingdings" w:hAnsi="Wingdings" w:hint="default"/>
      </w:rPr>
    </w:lvl>
    <w:lvl w:ilvl="4" w:tplc="30463D58" w:tentative="1">
      <w:start w:val="1"/>
      <w:numFmt w:val="bullet"/>
      <w:lvlText w:val=""/>
      <w:lvlJc w:val="left"/>
      <w:pPr>
        <w:tabs>
          <w:tab w:val="num" w:pos="3600"/>
        </w:tabs>
        <w:ind w:left="3600" w:hanging="360"/>
      </w:pPr>
      <w:rPr>
        <w:rFonts w:ascii="Wingdings" w:hAnsi="Wingdings" w:hint="default"/>
      </w:rPr>
    </w:lvl>
    <w:lvl w:ilvl="5" w:tplc="CA3C1022" w:tentative="1">
      <w:start w:val="1"/>
      <w:numFmt w:val="bullet"/>
      <w:lvlText w:val=""/>
      <w:lvlJc w:val="left"/>
      <w:pPr>
        <w:tabs>
          <w:tab w:val="num" w:pos="4320"/>
        </w:tabs>
        <w:ind w:left="4320" w:hanging="360"/>
      </w:pPr>
      <w:rPr>
        <w:rFonts w:ascii="Wingdings" w:hAnsi="Wingdings" w:hint="default"/>
      </w:rPr>
    </w:lvl>
    <w:lvl w:ilvl="6" w:tplc="46C678EC" w:tentative="1">
      <w:start w:val="1"/>
      <w:numFmt w:val="bullet"/>
      <w:lvlText w:val=""/>
      <w:lvlJc w:val="left"/>
      <w:pPr>
        <w:tabs>
          <w:tab w:val="num" w:pos="5040"/>
        </w:tabs>
        <w:ind w:left="5040" w:hanging="360"/>
      </w:pPr>
      <w:rPr>
        <w:rFonts w:ascii="Wingdings" w:hAnsi="Wingdings" w:hint="default"/>
      </w:rPr>
    </w:lvl>
    <w:lvl w:ilvl="7" w:tplc="885CC16C" w:tentative="1">
      <w:start w:val="1"/>
      <w:numFmt w:val="bullet"/>
      <w:lvlText w:val=""/>
      <w:lvlJc w:val="left"/>
      <w:pPr>
        <w:tabs>
          <w:tab w:val="num" w:pos="5760"/>
        </w:tabs>
        <w:ind w:left="5760" w:hanging="360"/>
      </w:pPr>
      <w:rPr>
        <w:rFonts w:ascii="Wingdings" w:hAnsi="Wingdings" w:hint="default"/>
      </w:rPr>
    </w:lvl>
    <w:lvl w:ilvl="8" w:tplc="08D087C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E6A35"/>
    <w:multiLevelType w:val="hybridMultilevel"/>
    <w:tmpl w:val="A6C8B820"/>
    <w:lvl w:ilvl="0" w:tplc="AF9A19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0301CC"/>
    <w:multiLevelType w:val="hybridMultilevel"/>
    <w:tmpl w:val="5D10B1C0"/>
    <w:lvl w:ilvl="0" w:tplc="42A87F42">
      <w:numFmt w:val="bullet"/>
      <w:lvlText w:val="-"/>
      <w:lvlJc w:val="left"/>
      <w:pPr>
        <w:ind w:left="1008" w:hanging="360"/>
      </w:pPr>
      <w:rPr>
        <w:rFonts w:ascii="Times New Roman" w:eastAsia="?? ??"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E257DE"/>
    <w:multiLevelType w:val="hybridMultilevel"/>
    <w:tmpl w:val="73EEDB7C"/>
    <w:lvl w:ilvl="0" w:tplc="AE8220E2">
      <w:start w:val="1"/>
      <w:numFmt w:val="bullet"/>
      <w:lvlText w:val=""/>
      <w:lvlJc w:val="left"/>
      <w:pPr>
        <w:tabs>
          <w:tab w:val="num" w:pos="720"/>
        </w:tabs>
        <w:ind w:left="720" w:hanging="360"/>
      </w:pPr>
      <w:rPr>
        <w:rFonts w:ascii="Wingdings" w:hAnsi="Wingdings" w:hint="default"/>
      </w:rPr>
    </w:lvl>
    <w:lvl w:ilvl="1" w:tplc="E5C68D06">
      <w:start w:val="174"/>
      <w:numFmt w:val="bullet"/>
      <w:lvlText w:val="•"/>
      <w:lvlJc w:val="left"/>
      <w:pPr>
        <w:tabs>
          <w:tab w:val="num" w:pos="1440"/>
        </w:tabs>
        <w:ind w:left="1440" w:hanging="360"/>
      </w:pPr>
      <w:rPr>
        <w:rFonts w:ascii="Arial" w:hAnsi="Arial" w:hint="default"/>
      </w:rPr>
    </w:lvl>
    <w:lvl w:ilvl="2" w:tplc="7FB85E5E">
      <w:start w:val="174"/>
      <w:numFmt w:val="bullet"/>
      <w:lvlText w:val="•"/>
      <w:lvlJc w:val="left"/>
      <w:pPr>
        <w:tabs>
          <w:tab w:val="num" w:pos="2160"/>
        </w:tabs>
        <w:ind w:left="2160" w:hanging="360"/>
      </w:pPr>
      <w:rPr>
        <w:rFonts w:ascii="Arial" w:hAnsi="Arial" w:hint="default"/>
      </w:rPr>
    </w:lvl>
    <w:lvl w:ilvl="3" w:tplc="CCF2E446" w:tentative="1">
      <w:start w:val="1"/>
      <w:numFmt w:val="bullet"/>
      <w:lvlText w:val=""/>
      <w:lvlJc w:val="left"/>
      <w:pPr>
        <w:tabs>
          <w:tab w:val="num" w:pos="2880"/>
        </w:tabs>
        <w:ind w:left="2880" w:hanging="360"/>
      </w:pPr>
      <w:rPr>
        <w:rFonts w:ascii="Wingdings" w:hAnsi="Wingdings" w:hint="default"/>
      </w:rPr>
    </w:lvl>
    <w:lvl w:ilvl="4" w:tplc="E92A85FA" w:tentative="1">
      <w:start w:val="1"/>
      <w:numFmt w:val="bullet"/>
      <w:lvlText w:val=""/>
      <w:lvlJc w:val="left"/>
      <w:pPr>
        <w:tabs>
          <w:tab w:val="num" w:pos="3600"/>
        </w:tabs>
        <w:ind w:left="3600" w:hanging="360"/>
      </w:pPr>
      <w:rPr>
        <w:rFonts w:ascii="Wingdings" w:hAnsi="Wingdings" w:hint="default"/>
      </w:rPr>
    </w:lvl>
    <w:lvl w:ilvl="5" w:tplc="46B2B224" w:tentative="1">
      <w:start w:val="1"/>
      <w:numFmt w:val="bullet"/>
      <w:lvlText w:val=""/>
      <w:lvlJc w:val="left"/>
      <w:pPr>
        <w:tabs>
          <w:tab w:val="num" w:pos="4320"/>
        </w:tabs>
        <w:ind w:left="4320" w:hanging="360"/>
      </w:pPr>
      <w:rPr>
        <w:rFonts w:ascii="Wingdings" w:hAnsi="Wingdings" w:hint="default"/>
      </w:rPr>
    </w:lvl>
    <w:lvl w:ilvl="6" w:tplc="93E2C124" w:tentative="1">
      <w:start w:val="1"/>
      <w:numFmt w:val="bullet"/>
      <w:lvlText w:val=""/>
      <w:lvlJc w:val="left"/>
      <w:pPr>
        <w:tabs>
          <w:tab w:val="num" w:pos="5040"/>
        </w:tabs>
        <w:ind w:left="5040" w:hanging="360"/>
      </w:pPr>
      <w:rPr>
        <w:rFonts w:ascii="Wingdings" w:hAnsi="Wingdings" w:hint="default"/>
      </w:rPr>
    </w:lvl>
    <w:lvl w:ilvl="7" w:tplc="20B8A47A" w:tentative="1">
      <w:start w:val="1"/>
      <w:numFmt w:val="bullet"/>
      <w:lvlText w:val=""/>
      <w:lvlJc w:val="left"/>
      <w:pPr>
        <w:tabs>
          <w:tab w:val="num" w:pos="5760"/>
        </w:tabs>
        <w:ind w:left="5760" w:hanging="360"/>
      </w:pPr>
      <w:rPr>
        <w:rFonts w:ascii="Wingdings" w:hAnsi="Wingdings" w:hint="default"/>
      </w:rPr>
    </w:lvl>
    <w:lvl w:ilvl="8" w:tplc="83FAAB6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AB65209"/>
    <w:multiLevelType w:val="hybridMultilevel"/>
    <w:tmpl w:val="3268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422CB"/>
    <w:multiLevelType w:val="hybridMultilevel"/>
    <w:tmpl w:val="0BBA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0312B"/>
    <w:multiLevelType w:val="hybridMultilevel"/>
    <w:tmpl w:val="09B6FDD6"/>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50242"/>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5D181A"/>
    <w:multiLevelType w:val="hybridMultilevel"/>
    <w:tmpl w:val="9A880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D976FC"/>
    <w:multiLevelType w:val="hybridMultilevel"/>
    <w:tmpl w:val="3E104906"/>
    <w:lvl w:ilvl="0" w:tplc="EF1C9F4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5FB86C4D"/>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0D5BA4"/>
    <w:multiLevelType w:val="hybridMultilevel"/>
    <w:tmpl w:val="DC8C9E52"/>
    <w:lvl w:ilvl="0" w:tplc="1676254E">
      <w:start w:val="1"/>
      <w:numFmt w:val="bullet"/>
      <w:lvlText w:val=""/>
      <w:lvlJc w:val="left"/>
      <w:pPr>
        <w:tabs>
          <w:tab w:val="num" w:pos="720"/>
        </w:tabs>
        <w:ind w:left="720" w:hanging="360"/>
      </w:pPr>
      <w:rPr>
        <w:rFonts w:ascii="Wingdings" w:hAnsi="Wingdings" w:hint="default"/>
      </w:rPr>
    </w:lvl>
    <w:lvl w:ilvl="1" w:tplc="AC68B34A">
      <w:start w:val="88"/>
      <w:numFmt w:val="bullet"/>
      <w:lvlText w:val="•"/>
      <w:lvlJc w:val="left"/>
      <w:pPr>
        <w:tabs>
          <w:tab w:val="num" w:pos="1440"/>
        </w:tabs>
        <w:ind w:left="1440" w:hanging="360"/>
      </w:pPr>
      <w:rPr>
        <w:rFonts w:ascii="Arial" w:hAnsi="Arial" w:hint="default"/>
      </w:rPr>
    </w:lvl>
    <w:lvl w:ilvl="2" w:tplc="C8B6679A">
      <w:start w:val="88"/>
      <w:numFmt w:val="bullet"/>
      <w:lvlText w:val="•"/>
      <w:lvlJc w:val="left"/>
      <w:pPr>
        <w:tabs>
          <w:tab w:val="num" w:pos="2160"/>
        </w:tabs>
        <w:ind w:left="2160" w:hanging="360"/>
      </w:pPr>
      <w:rPr>
        <w:rFonts w:ascii="Arial" w:hAnsi="Arial" w:hint="default"/>
      </w:rPr>
    </w:lvl>
    <w:lvl w:ilvl="3" w:tplc="01D6E246" w:tentative="1">
      <w:start w:val="1"/>
      <w:numFmt w:val="bullet"/>
      <w:lvlText w:val=""/>
      <w:lvlJc w:val="left"/>
      <w:pPr>
        <w:tabs>
          <w:tab w:val="num" w:pos="2880"/>
        </w:tabs>
        <w:ind w:left="2880" w:hanging="360"/>
      </w:pPr>
      <w:rPr>
        <w:rFonts w:ascii="Wingdings" w:hAnsi="Wingdings" w:hint="default"/>
      </w:rPr>
    </w:lvl>
    <w:lvl w:ilvl="4" w:tplc="27844C88" w:tentative="1">
      <w:start w:val="1"/>
      <w:numFmt w:val="bullet"/>
      <w:lvlText w:val=""/>
      <w:lvlJc w:val="left"/>
      <w:pPr>
        <w:tabs>
          <w:tab w:val="num" w:pos="3600"/>
        </w:tabs>
        <w:ind w:left="3600" w:hanging="360"/>
      </w:pPr>
      <w:rPr>
        <w:rFonts w:ascii="Wingdings" w:hAnsi="Wingdings" w:hint="default"/>
      </w:rPr>
    </w:lvl>
    <w:lvl w:ilvl="5" w:tplc="4E0EF380" w:tentative="1">
      <w:start w:val="1"/>
      <w:numFmt w:val="bullet"/>
      <w:lvlText w:val=""/>
      <w:lvlJc w:val="left"/>
      <w:pPr>
        <w:tabs>
          <w:tab w:val="num" w:pos="4320"/>
        </w:tabs>
        <w:ind w:left="4320" w:hanging="360"/>
      </w:pPr>
      <w:rPr>
        <w:rFonts w:ascii="Wingdings" w:hAnsi="Wingdings" w:hint="default"/>
      </w:rPr>
    </w:lvl>
    <w:lvl w:ilvl="6" w:tplc="0EE00408" w:tentative="1">
      <w:start w:val="1"/>
      <w:numFmt w:val="bullet"/>
      <w:lvlText w:val=""/>
      <w:lvlJc w:val="left"/>
      <w:pPr>
        <w:tabs>
          <w:tab w:val="num" w:pos="5040"/>
        </w:tabs>
        <w:ind w:left="5040" w:hanging="360"/>
      </w:pPr>
      <w:rPr>
        <w:rFonts w:ascii="Wingdings" w:hAnsi="Wingdings" w:hint="default"/>
      </w:rPr>
    </w:lvl>
    <w:lvl w:ilvl="7" w:tplc="0EC4E182" w:tentative="1">
      <w:start w:val="1"/>
      <w:numFmt w:val="bullet"/>
      <w:lvlText w:val=""/>
      <w:lvlJc w:val="left"/>
      <w:pPr>
        <w:tabs>
          <w:tab w:val="num" w:pos="5760"/>
        </w:tabs>
        <w:ind w:left="5760" w:hanging="360"/>
      </w:pPr>
      <w:rPr>
        <w:rFonts w:ascii="Wingdings" w:hAnsi="Wingdings" w:hint="default"/>
      </w:rPr>
    </w:lvl>
    <w:lvl w:ilvl="8" w:tplc="C6E028F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97D5E"/>
    <w:multiLevelType w:val="hybridMultilevel"/>
    <w:tmpl w:val="A50C69B6"/>
    <w:lvl w:ilvl="0" w:tplc="A4481218">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17"/>
  </w:num>
  <w:num w:numId="4">
    <w:abstractNumId w:val="1"/>
  </w:num>
  <w:num w:numId="5">
    <w:abstractNumId w:val="29"/>
  </w:num>
  <w:num w:numId="6">
    <w:abstractNumId w:val="8"/>
  </w:num>
  <w:num w:numId="7">
    <w:abstractNumId w:val="4"/>
  </w:num>
  <w:num w:numId="8">
    <w:abstractNumId w:val="19"/>
  </w:num>
  <w:num w:numId="9">
    <w:abstractNumId w:val="28"/>
  </w:num>
  <w:num w:numId="10">
    <w:abstractNumId w:val="6"/>
  </w:num>
  <w:num w:numId="11">
    <w:abstractNumId w:val="22"/>
  </w:num>
  <w:num w:numId="12">
    <w:abstractNumId w:val="14"/>
  </w:num>
  <w:num w:numId="13">
    <w:abstractNumId w:val="23"/>
  </w:num>
  <w:num w:numId="14">
    <w:abstractNumId w:val="10"/>
  </w:num>
  <w:num w:numId="15">
    <w:abstractNumId w:val="18"/>
  </w:num>
  <w:num w:numId="16">
    <w:abstractNumId w:val="11"/>
  </w:num>
  <w:num w:numId="17">
    <w:abstractNumId w:val="2"/>
  </w:num>
  <w:num w:numId="18">
    <w:abstractNumId w:val="26"/>
  </w:num>
  <w:num w:numId="19">
    <w:abstractNumId w:val="20"/>
  </w:num>
  <w:num w:numId="20">
    <w:abstractNumId w:val="12"/>
  </w:num>
  <w:num w:numId="21">
    <w:abstractNumId w:val="24"/>
  </w:num>
  <w:num w:numId="22">
    <w:abstractNumId w:val="21"/>
  </w:num>
  <w:num w:numId="23">
    <w:abstractNumId w:val="25"/>
  </w:num>
  <w:num w:numId="24">
    <w:abstractNumId w:val="7"/>
  </w:num>
  <w:num w:numId="25">
    <w:abstractNumId w:val="5"/>
  </w:num>
  <w:num w:numId="26">
    <w:abstractNumId w:val="15"/>
  </w:num>
  <w:num w:numId="27">
    <w:abstractNumId w:val="9"/>
  </w:num>
  <w:num w:numId="2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2D2A"/>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89B"/>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4C0"/>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E6C"/>
    <w:rsid w:val="000572A7"/>
    <w:rsid w:val="00057460"/>
    <w:rsid w:val="00057479"/>
    <w:rsid w:val="000574E1"/>
    <w:rsid w:val="00057511"/>
    <w:rsid w:val="00057AD4"/>
    <w:rsid w:val="00057DF9"/>
    <w:rsid w:val="00057F2C"/>
    <w:rsid w:val="00057F68"/>
    <w:rsid w:val="00057F6C"/>
    <w:rsid w:val="00057FE7"/>
    <w:rsid w:val="00060586"/>
    <w:rsid w:val="00060F34"/>
    <w:rsid w:val="00060FDB"/>
    <w:rsid w:val="000612C5"/>
    <w:rsid w:val="00061494"/>
    <w:rsid w:val="00061C96"/>
    <w:rsid w:val="00061E34"/>
    <w:rsid w:val="000621A9"/>
    <w:rsid w:val="0006263A"/>
    <w:rsid w:val="00063485"/>
    <w:rsid w:val="00063CA3"/>
    <w:rsid w:val="00063F57"/>
    <w:rsid w:val="0006436D"/>
    <w:rsid w:val="000644BA"/>
    <w:rsid w:val="0006480B"/>
    <w:rsid w:val="00064A18"/>
    <w:rsid w:val="00064A2B"/>
    <w:rsid w:val="0006507D"/>
    <w:rsid w:val="0006549C"/>
    <w:rsid w:val="00065636"/>
    <w:rsid w:val="00065D64"/>
    <w:rsid w:val="000667D1"/>
    <w:rsid w:val="00066E05"/>
    <w:rsid w:val="00067087"/>
    <w:rsid w:val="000671F8"/>
    <w:rsid w:val="0006739D"/>
    <w:rsid w:val="00067436"/>
    <w:rsid w:val="000674DD"/>
    <w:rsid w:val="0006776C"/>
    <w:rsid w:val="0006777C"/>
    <w:rsid w:val="00067FE2"/>
    <w:rsid w:val="00070237"/>
    <w:rsid w:val="00070378"/>
    <w:rsid w:val="000709D4"/>
    <w:rsid w:val="0007118F"/>
    <w:rsid w:val="000711FC"/>
    <w:rsid w:val="000716FB"/>
    <w:rsid w:val="00071773"/>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5F2"/>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1CC"/>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1A65"/>
    <w:rsid w:val="000D206C"/>
    <w:rsid w:val="000D23C1"/>
    <w:rsid w:val="000D2AE0"/>
    <w:rsid w:val="000D2EA5"/>
    <w:rsid w:val="000D35D4"/>
    <w:rsid w:val="000D362A"/>
    <w:rsid w:val="000D37FA"/>
    <w:rsid w:val="000D3A33"/>
    <w:rsid w:val="000D3A6C"/>
    <w:rsid w:val="000D3D22"/>
    <w:rsid w:val="000D4324"/>
    <w:rsid w:val="000D4479"/>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5F0F"/>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579"/>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3ABA"/>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31"/>
    <w:rsid w:val="00106A95"/>
    <w:rsid w:val="00106CC3"/>
    <w:rsid w:val="00106E7E"/>
    <w:rsid w:val="001074D1"/>
    <w:rsid w:val="00110254"/>
    <w:rsid w:val="001106C0"/>
    <w:rsid w:val="00110D8C"/>
    <w:rsid w:val="00111114"/>
    <w:rsid w:val="001113B7"/>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6F4"/>
    <w:rsid w:val="00115716"/>
    <w:rsid w:val="0011584C"/>
    <w:rsid w:val="001158AF"/>
    <w:rsid w:val="00115D19"/>
    <w:rsid w:val="00116624"/>
    <w:rsid w:val="00117957"/>
    <w:rsid w:val="00117B4F"/>
    <w:rsid w:val="00117B90"/>
    <w:rsid w:val="00117BD4"/>
    <w:rsid w:val="00120032"/>
    <w:rsid w:val="00120191"/>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6FF"/>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DD9"/>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5EE0"/>
    <w:rsid w:val="00146129"/>
    <w:rsid w:val="0014624C"/>
    <w:rsid w:val="00146491"/>
    <w:rsid w:val="0014652F"/>
    <w:rsid w:val="001466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5C"/>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1B"/>
    <w:rsid w:val="0017535F"/>
    <w:rsid w:val="00175ABB"/>
    <w:rsid w:val="00175B5A"/>
    <w:rsid w:val="00175E60"/>
    <w:rsid w:val="00176162"/>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0A9"/>
    <w:rsid w:val="00185257"/>
    <w:rsid w:val="00185E59"/>
    <w:rsid w:val="00185F10"/>
    <w:rsid w:val="00186060"/>
    <w:rsid w:val="00186329"/>
    <w:rsid w:val="00186395"/>
    <w:rsid w:val="00186B4D"/>
    <w:rsid w:val="0018767B"/>
    <w:rsid w:val="00187CCD"/>
    <w:rsid w:val="0019022C"/>
    <w:rsid w:val="00190307"/>
    <w:rsid w:val="0019083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9A"/>
    <w:rsid w:val="001B00B2"/>
    <w:rsid w:val="001B0149"/>
    <w:rsid w:val="001B0163"/>
    <w:rsid w:val="001B0251"/>
    <w:rsid w:val="001B0DC2"/>
    <w:rsid w:val="001B0F1F"/>
    <w:rsid w:val="001B1296"/>
    <w:rsid w:val="001B12E5"/>
    <w:rsid w:val="001B1565"/>
    <w:rsid w:val="001B1F17"/>
    <w:rsid w:val="001B1F29"/>
    <w:rsid w:val="001B2085"/>
    <w:rsid w:val="001B209A"/>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28C"/>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5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989"/>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BB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4E"/>
    <w:rsid w:val="00207AF9"/>
    <w:rsid w:val="00207BB9"/>
    <w:rsid w:val="00207EB6"/>
    <w:rsid w:val="00207F77"/>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601"/>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2945"/>
    <w:rsid w:val="00222DE3"/>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43D"/>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08"/>
    <w:rsid w:val="00237D22"/>
    <w:rsid w:val="002409A7"/>
    <w:rsid w:val="00240A69"/>
    <w:rsid w:val="00240B7D"/>
    <w:rsid w:val="00240F76"/>
    <w:rsid w:val="0024103F"/>
    <w:rsid w:val="00241915"/>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B33"/>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57EAD"/>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6C22"/>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3A"/>
    <w:rsid w:val="002738C9"/>
    <w:rsid w:val="00273B2D"/>
    <w:rsid w:val="00273C14"/>
    <w:rsid w:val="00273C79"/>
    <w:rsid w:val="00273CFB"/>
    <w:rsid w:val="00274391"/>
    <w:rsid w:val="002749C8"/>
    <w:rsid w:val="00274D08"/>
    <w:rsid w:val="00275435"/>
    <w:rsid w:val="00275464"/>
    <w:rsid w:val="0027568B"/>
    <w:rsid w:val="002756D5"/>
    <w:rsid w:val="002758B1"/>
    <w:rsid w:val="00276001"/>
    <w:rsid w:val="002761E8"/>
    <w:rsid w:val="002764FB"/>
    <w:rsid w:val="00276579"/>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D28"/>
    <w:rsid w:val="00285E28"/>
    <w:rsid w:val="00286487"/>
    <w:rsid w:val="00286631"/>
    <w:rsid w:val="0028668D"/>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497"/>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1"/>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5CF"/>
    <w:rsid w:val="002B19D4"/>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B799B"/>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E76"/>
    <w:rsid w:val="002C6F88"/>
    <w:rsid w:val="002C7014"/>
    <w:rsid w:val="002C782F"/>
    <w:rsid w:val="002C7B03"/>
    <w:rsid w:val="002C7B0D"/>
    <w:rsid w:val="002C7D31"/>
    <w:rsid w:val="002C7D95"/>
    <w:rsid w:val="002C7EC6"/>
    <w:rsid w:val="002D001E"/>
    <w:rsid w:val="002D0298"/>
    <w:rsid w:val="002D02BF"/>
    <w:rsid w:val="002D04DC"/>
    <w:rsid w:val="002D054E"/>
    <w:rsid w:val="002D0657"/>
    <w:rsid w:val="002D09B3"/>
    <w:rsid w:val="002D0DAA"/>
    <w:rsid w:val="002D0E91"/>
    <w:rsid w:val="002D0EEA"/>
    <w:rsid w:val="002D0F42"/>
    <w:rsid w:val="002D1371"/>
    <w:rsid w:val="002D13B7"/>
    <w:rsid w:val="002D15C0"/>
    <w:rsid w:val="002D2057"/>
    <w:rsid w:val="002D2615"/>
    <w:rsid w:val="002D28F3"/>
    <w:rsid w:val="002D2B4E"/>
    <w:rsid w:val="002D2C2A"/>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8D4"/>
    <w:rsid w:val="002E4B7B"/>
    <w:rsid w:val="002E4C0E"/>
    <w:rsid w:val="002E501A"/>
    <w:rsid w:val="002E550C"/>
    <w:rsid w:val="002E58E1"/>
    <w:rsid w:val="002E5BA5"/>
    <w:rsid w:val="002E5BDD"/>
    <w:rsid w:val="002E5C56"/>
    <w:rsid w:val="002E6744"/>
    <w:rsid w:val="002E679D"/>
    <w:rsid w:val="002E7321"/>
    <w:rsid w:val="002E7542"/>
    <w:rsid w:val="002E7894"/>
    <w:rsid w:val="002E7C45"/>
    <w:rsid w:val="002F0045"/>
    <w:rsid w:val="002F00F0"/>
    <w:rsid w:val="002F025B"/>
    <w:rsid w:val="002F0675"/>
    <w:rsid w:val="002F0684"/>
    <w:rsid w:val="002F06A0"/>
    <w:rsid w:val="002F073B"/>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4A3E"/>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6B8"/>
    <w:rsid w:val="00323832"/>
    <w:rsid w:val="00323FAD"/>
    <w:rsid w:val="003242C1"/>
    <w:rsid w:val="00324731"/>
    <w:rsid w:val="003249F8"/>
    <w:rsid w:val="00324F6C"/>
    <w:rsid w:val="0032511C"/>
    <w:rsid w:val="00325C1C"/>
    <w:rsid w:val="00325C6E"/>
    <w:rsid w:val="0032649F"/>
    <w:rsid w:val="0032695B"/>
    <w:rsid w:val="00326BBA"/>
    <w:rsid w:val="00326FA4"/>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2A5"/>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69A"/>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7A"/>
    <w:rsid w:val="00372FD7"/>
    <w:rsid w:val="00373A6D"/>
    <w:rsid w:val="00373E10"/>
    <w:rsid w:val="00373F2C"/>
    <w:rsid w:val="0037406C"/>
    <w:rsid w:val="003741D2"/>
    <w:rsid w:val="003744CB"/>
    <w:rsid w:val="00374804"/>
    <w:rsid w:val="00374C90"/>
    <w:rsid w:val="00374F06"/>
    <w:rsid w:val="00374F99"/>
    <w:rsid w:val="00375B67"/>
    <w:rsid w:val="00375C8A"/>
    <w:rsid w:val="00375FFC"/>
    <w:rsid w:val="003764FA"/>
    <w:rsid w:val="0037664D"/>
    <w:rsid w:val="00376778"/>
    <w:rsid w:val="003769B8"/>
    <w:rsid w:val="00376CD6"/>
    <w:rsid w:val="00376E52"/>
    <w:rsid w:val="0037709A"/>
    <w:rsid w:val="00377146"/>
    <w:rsid w:val="0037716D"/>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098"/>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1D2"/>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0F3E"/>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45"/>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2D7D"/>
    <w:rsid w:val="003B31F9"/>
    <w:rsid w:val="003B41F7"/>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6CE7"/>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571"/>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02D"/>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B66"/>
    <w:rsid w:val="003F7DFF"/>
    <w:rsid w:val="00400015"/>
    <w:rsid w:val="00400147"/>
    <w:rsid w:val="0040015E"/>
    <w:rsid w:val="00400427"/>
    <w:rsid w:val="00400588"/>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2F8F"/>
    <w:rsid w:val="00413369"/>
    <w:rsid w:val="00413D54"/>
    <w:rsid w:val="00413E02"/>
    <w:rsid w:val="00414129"/>
    <w:rsid w:val="004145AE"/>
    <w:rsid w:val="00415181"/>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D5F"/>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3CF"/>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AB4"/>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16AE"/>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1DEF"/>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6BE"/>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2B2"/>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A1D"/>
    <w:rsid w:val="004B1B53"/>
    <w:rsid w:val="004B1C42"/>
    <w:rsid w:val="004B2700"/>
    <w:rsid w:val="004B27FF"/>
    <w:rsid w:val="004B2B31"/>
    <w:rsid w:val="004B2C33"/>
    <w:rsid w:val="004B2CDB"/>
    <w:rsid w:val="004B314C"/>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96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0FD"/>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1AF"/>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1F5"/>
    <w:rsid w:val="004E29C4"/>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8AE"/>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E7F88"/>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8AB"/>
    <w:rsid w:val="004F6243"/>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3B"/>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4CB"/>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6CD"/>
    <w:rsid w:val="00512747"/>
    <w:rsid w:val="00512E1C"/>
    <w:rsid w:val="005136B4"/>
    <w:rsid w:val="00513F8F"/>
    <w:rsid w:val="00514455"/>
    <w:rsid w:val="0051454E"/>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0A0"/>
    <w:rsid w:val="005221A4"/>
    <w:rsid w:val="00522ACA"/>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392"/>
    <w:rsid w:val="005269C2"/>
    <w:rsid w:val="00526C7A"/>
    <w:rsid w:val="00526C8A"/>
    <w:rsid w:val="00526ECB"/>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7EE"/>
    <w:rsid w:val="00540DA7"/>
    <w:rsid w:val="00540EB6"/>
    <w:rsid w:val="00540FF7"/>
    <w:rsid w:val="0054101A"/>
    <w:rsid w:val="0054171F"/>
    <w:rsid w:val="005417A0"/>
    <w:rsid w:val="00541B6E"/>
    <w:rsid w:val="00541CB9"/>
    <w:rsid w:val="00541E2B"/>
    <w:rsid w:val="00543531"/>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155"/>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E4F"/>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6DE"/>
    <w:rsid w:val="00574767"/>
    <w:rsid w:val="00574886"/>
    <w:rsid w:val="00574B86"/>
    <w:rsid w:val="00574BDA"/>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05"/>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3"/>
    <w:rsid w:val="005858F5"/>
    <w:rsid w:val="00585932"/>
    <w:rsid w:val="00585C3A"/>
    <w:rsid w:val="0058628A"/>
    <w:rsid w:val="005863AF"/>
    <w:rsid w:val="00586897"/>
    <w:rsid w:val="00587117"/>
    <w:rsid w:val="0058759B"/>
    <w:rsid w:val="005875EA"/>
    <w:rsid w:val="0058764D"/>
    <w:rsid w:val="005876F1"/>
    <w:rsid w:val="00590203"/>
    <w:rsid w:val="00590749"/>
    <w:rsid w:val="00590B88"/>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7F1"/>
    <w:rsid w:val="0059485A"/>
    <w:rsid w:val="005954F2"/>
    <w:rsid w:val="00595777"/>
    <w:rsid w:val="00595983"/>
    <w:rsid w:val="00595E99"/>
    <w:rsid w:val="00596308"/>
    <w:rsid w:val="005968C4"/>
    <w:rsid w:val="005968F0"/>
    <w:rsid w:val="005969EC"/>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2EE2"/>
    <w:rsid w:val="005A320D"/>
    <w:rsid w:val="005A36E3"/>
    <w:rsid w:val="005A374A"/>
    <w:rsid w:val="005A3A31"/>
    <w:rsid w:val="005A3B1E"/>
    <w:rsid w:val="005A40D5"/>
    <w:rsid w:val="005A4674"/>
    <w:rsid w:val="005A4999"/>
    <w:rsid w:val="005A4B75"/>
    <w:rsid w:val="005A4E38"/>
    <w:rsid w:val="005A4E39"/>
    <w:rsid w:val="005A50CE"/>
    <w:rsid w:val="005A588D"/>
    <w:rsid w:val="005A59CF"/>
    <w:rsid w:val="005A6070"/>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4E"/>
    <w:rsid w:val="005B7BDB"/>
    <w:rsid w:val="005B7E2B"/>
    <w:rsid w:val="005C011B"/>
    <w:rsid w:val="005C023B"/>
    <w:rsid w:val="005C0625"/>
    <w:rsid w:val="005C0904"/>
    <w:rsid w:val="005C09BF"/>
    <w:rsid w:val="005C0D61"/>
    <w:rsid w:val="005C0DDE"/>
    <w:rsid w:val="005C11DA"/>
    <w:rsid w:val="005C1225"/>
    <w:rsid w:val="005C132F"/>
    <w:rsid w:val="005C1752"/>
    <w:rsid w:val="005C1D79"/>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550"/>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B9"/>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C90"/>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07F1E"/>
    <w:rsid w:val="0061005A"/>
    <w:rsid w:val="006102C6"/>
    <w:rsid w:val="006103F0"/>
    <w:rsid w:val="006113A9"/>
    <w:rsid w:val="00611758"/>
    <w:rsid w:val="00611A0D"/>
    <w:rsid w:val="00612250"/>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2E7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CC2"/>
    <w:rsid w:val="00642D10"/>
    <w:rsid w:val="00643769"/>
    <w:rsid w:val="006437A9"/>
    <w:rsid w:val="00643973"/>
    <w:rsid w:val="00644177"/>
    <w:rsid w:val="00644200"/>
    <w:rsid w:val="0064428B"/>
    <w:rsid w:val="00644511"/>
    <w:rsid w:val="0064486C"/>
    <w:rsid w:val="00644E60"/>
    <w:rsid w:val="00644F00"/>
    <w:rsid w:val="006457B7"/>
    <w:rsid w:val="006457DE"/>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2FB"/>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07C"/>
    <w:rsid w:val="0068623E"/>
    <w:rsid w:val="0068623F"/>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35"/>
    <w:rsid w:val="00695A99"/>
    <w:rsid w:val="00695E95"/>
    <w:rsid w:val="00696244"/>
    <w:rsid w:val="006969D6"/>
    <w:rsid w:val="006969F2"/>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4D78"/>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74C"/>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7BF"/>
    <w:rsid w:val="006F39D0"/>
    <w:rsid w:val="006F3B01"/>
    <w:rsid w:val="006F3BDF"/>
    <w:rsid w:val="006F4072"/>
    <w:rsid w:val="006F4189"/>
    <w:rsid w:val="006F4362"/>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1C24"/>
    <w:rsid w:val="0070200A"/>
    <w:rsid w:val="00702BFC"/>
    <w:rsid w:val="007034BC"/>
    <w:rsid w:val="007035F6"/>
    <w:rsid w:val="007036E5"/>
    <w:rsid w:val="00703D58"/>
    <w:rsid w:val="007044C2"/>
    <w:rsid w:val="007047A7"/>
    <w:rsid w:val="00704A33"/>
    <w:rsid w:val="00704ACC"/>
    <w:rsid w:val="00704DEB"/>
    <w:rsid w:val="00705362"/>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81E"/>
    <w:rsid w:val="0071196B"/>
    <w:rsid w:val="00711A0F"/>
    <w:rsid w:val="00711AE4"/>
    <w:rsid w:val="00711CBA"/>
    <w:rsid w:val="00711D10"/>
    <w:rsid w:val="00711D73"/>
    <w:rsid w:val="00711E0C"/>
    <w:rsid w:val="00712150"/>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7F5"/>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3FB9"/>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534"/>
    <w:rsid w:val="0075270B"/>
    <w:rsid w:val="007527B8"/>
    <w:rsid w:val="0075288B"/>
    <w:rsid w:val="00752E14"/>
    <w:rsid w:val="00752FE7"/>
    <w:rsid w:val="0075312F"/>
    <w:rsid w:val="007536BB"/>
    <w:rsid w:val="00753B0F"/>
    <w:rsid w:val="00753B9D"/>
    <w:rsid w:val="00753F01"/>
    <w:rsid w:val="0075412E"/>
    <w:rsid w:val="007548C3"/>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ADA"/>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061"/>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2C"/>
    <w:rsid w:val="00793F70"/>
    <w:rsid w:val="0079400D"/>
    <w:rsid w:val="007947FB"/>
    <w:rsid w:val="00794842"/>
    <w:rsid w:val="0079485D"/>
    <w:rsid w:val="00794FA3"/>
    <w:rsid w:val="007952C7"/>
    <w:rsid w:val="007954AC"/>
    <w:rsid w:val="007959D4"/>
    <w:rsid w:val="0079601B"/>
    <w:rsid w:val="007962E1"/>
    <w:rsid w:val="00796589"/>
    <w:rsid w:val="0079663F"/>
    <w:rsid w:val="0079692D"/>
    <w:rsid w:val="00796F91"/>
    <w:rsid w:val="00796FCC"/>
    <w:rsid w:val="00797AB5"/>
    <w:rsid w:val="00797DAA"/>
    <w:rsid w:val="00797EDB"/>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C9D"/>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2AE"/>
    <w:rsid w:val="007E1479"/>
    <w:rsid w:val="007E148E"/>
    <w:rsid w:val="007E152B"/>
    <w:rsid w:val="007E1A37"/>
    <w:rsid w:val="007E1A55"/>
    <w:rsid w:val="007E1A72"/>
    <w:rsid w:val="007E1AD5"/>
    <w:rsid w:val="007E1CB1"/>
    <w:rsid w:val="007E201B"/>
    <w:rsid w:val="007E2146"/>
    <w:rsid w:val="007E290A"/>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BD"/>
    <w:rsid w:val="008041E1"/>
    <w:rsid w:val="00804437"/>
    <w:rsid w:val="00804867"/>
    <w:rsid w:val="008049D4"/>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1FB"/>
    <w:rsid w:val="0082266A"/>
    <w:rsid w:val="00823335"/>
    <w:rsid w:val="00823571"/>
    <w:rsid w:val="008237B2"/>
    <w:rsid w:val="00823A2C"/>
    <w:rsid w:val="00823C2D"/>
    <w:rsid w:val="00823F61"/>
    <w:rsid w:val="0082449E"/>
    <w:rsid w:val="008249FF"/>
    <w:rsid w:val="00824DDC"/>
    <w:rsid w:val="008251EC"/>
    <w:rsid w:val="0082540D"/>
    <w:rsid w:val="00825845"/>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00F"/>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5FF8"/>
    <w:rsid w:val="00846106"/>
    <w:rsid w:val="008462E7"/>
    <w:rsid w:val="00846467"/>
    <w:rsid w:val="00847721"/>
    <w:rsid w:val="008477E1"/>
    <w:rsid w:val="00847991"/>
    <w:rsid w:val="00847BA6"/>
    <w:rsid w:val="00847C4E"/>
    <w:rsid w:val="00847F04"/>
    <w:rsid w:val="0085076C"/>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D3E"/>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A8"/>
    <w:rsid w:val="00873BF0"/>
    <w:rsid w:val="00874D5F"/>
    <w:rsid w:val="00874E33"/>
    <w:rsid w:val="00874FAC"/>
    <w:rsid w:val="0087504C"/>
    <w:rsid w:val="00875905"/>
    <w:rsid w:val="00875E7F"/>
    <w:rsid w:val="00875F79"/>
    <w:rsid w:val="00875FBD"/>
    <w:rsid w:val="00876586"/>
    <w:rsid w:val="008766CE"/>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6DF"/>
    <w:rsid w:val="00883D18"/>
    <w:rsid w:val="00883ED6"/>
    <w:rsid w:val="00883F8F"/>
    <w:rsid w:val="008841D5"/>
    <w:rsid w:val="00884255"/>
    <w:rsid w:val="0088425B"/>
    <w:rsid w:val="00885037"/>
    <w:rsid w:val="00885322"/>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D39"/>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7C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F96"/>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0D4"/>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019"/>
    <w:rsid w:val="008B3590"/>
    <w:rsid w:val="008B35ED"/>
    <w:rsid w:val="008B363C"/>
    <w:rsid w:val="008B393D"/>
    <w:rsid w:val="008B4028"/>
    <w:rsid w:val="008B41EF"/>
    <w:rsid w:val="008B4230"/>
    <w:rsid w:val="008B42DC"/>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046E"/>
    <w:rsid w:val="008C065B"/>
    <w:rsid w:val="008C1325"/>
    <w:rsid w:val="008C1ABE"/>
    <w:rsid w:val="008C2426"/>
    <w:rsid w:val="008C2453"/>
    <w:rsid w:val="008C2572"/>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A7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DF2"/>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4B47"/>
    <w:rsid w:val="008E55E0"/>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91D"/>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B04"/>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5F6C"/>
    <w:rsid w:val="00906100"/>
    <w:rsid w:val="009061A5"/>
    <w:rsid w:val="009067B8"/>
    <w:rsid w:val="00906EED"/>
    <w:rsid w:val="00907071"/>
    <w:rsid w:val="009070FD"/>
    <w:rsid w:val="0090715C"/>
    <w:rsid w:val="0091086C"/>
    <w:rsid w:val="009108A7"/>
    <w:rsid w:val="00910ED6"/>
    <w:rsid w:val="0091132D"/>
    <w:rsid w:val="009118B7"/>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1C6"/>
    <w:rsid w:val="00916827"/>
    <w:rsid w:val="009171B9"/>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6AC"/>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292"/>
    <w:rsid w:val="00933C2F"/>
    <w:rsid w:val="00933D61"/>
    <w:rsid w:val="00933DE4"/>
    <w:rsid w:val="009343DA"/>
    <w:rsid w:val="0093457F"/>
    <w:rsid w:val="00934A98"/>
    <w:rsid w:val="00934F8E"/>
    <w:rsid w:val="009355F0"/>
    <w:rsid w:val="009358ED"/>
    <w:rsid w:val="009359D2"/>
    <w:rsid w:val="00935B52"/>
    <w:rsid w:val="00935BD1"/>
    <w:rsid w:val="0093676F"/>
    <w:rsid w:val="009367A8"/>
    <w:rsid w:val="0093691A"/>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851"/>
    <w:rsid w:val="00955A2E"/>
    <w:rsid w:val="00956101"/>
    <w:rsid w:val="009563E4"/>
    <w:rsid w:val="00956534"/>
    <w:rsid w:val="0095660B"/>
    <w:rsid w:val="00956769"/>
    <w:rsid w:val="00956B4A"/>
    <w:rsid w:val="00957060"/>
    <w:rsid w:val="009572DC"/>
    <w:rsid w:val="00957487"/>
    <w:rsid w:val="00957656"/>
    <w:rsid w:val="00957A17"/>
    <w:rsid w:val="00957D77"/>
    <w:rsid w:val="00957D9C"/>
    <w:rsid w:val="009603AB"/>
    <w:rsid w:val="009607AF"/>
    <w:rsid w:val="00960A88"/>
    <w:rsid w:val="00960C68"/>
    <w:rsid w:val="00960CB6"/>
    <w:rsid w:val="00960D27"/>
    <w:rsid w:val="00961023"/>
    <w:rsid w:val="009612F1"/>
    <w:rsid w:val="009613DF"/>
    <w:rsid w:val="009616FA"/>
    <w:rsid w:val="00961E68"/>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42B"/>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2EB"/>
    <w:rsid w:val="00980312"/>
    <w:rsid w:val="00980354"/>
    <w:rsid w:val="00980403"/>
    <w:rsid w:val="009804CB"/>
    <w:rsid w:val="009809DD"/>
    <w:rsid w:val="00980C75"/>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87C3C"/>
    <w:rsid w:val="00990A3A"/>
    <w:rsid w:val="009917F3"/>
    <w:rsid w:val="00991DA2"/>
    <w:rsid w:val="00991F39"/>
    <w:rsid w:val="00992624"/>
    <w:rsid w:val="009927C4"/>
    <w:rsid w:val="00992D04"/>
    <w:rsid w:val="009930C0"/>
    <w:rsid w:val="0099324C"/>
    <w:rsid w:val="00993627"/>
    <w:rsid w:val="00993658"/>
    <w:rsid w:val="0099367D"/>
    <w:rsid w:val="009936F0"/>
    <w:rsid w:val="009938F2"/>
    <w:rsid w:val="00993DA5"/>
    <w:rsid w:val="0099507E"/>
    <w:rsid w:val="009952D5"/>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70B"/>
    <w:rsid w:val="009A6960"/>
    <w:rsid w:val="009A6BAA"/>
    <w:rsid w:val="009A6C74"/>
    <w:rsid w:val="009A6D32"/>
    <w:rsid w:val="009A7154"/>
    <w:rsid w:val="009A78D1"/>
    <w:rsid w:val="009A7A99"/>
    <w:rsid w:val="009A7E57"/>
    <w:rsid w:val="009B003C"/>
    <w:rsid w:val="009B0097"/>
    <w:rsid w:val="009B10C5"/>
    <w:rsid w:val="009B1DA4"/>
    <w:rsid w:val="009B25DC"/>
    <w:rsid w:val="009B2ED0"/>
    <w:rsid w:val="009B3221"/>
    <w:rsid w:val="009B33F1"/>
    <w:rsid w:val="009B346F"/>
    <w:rsid w:val="009B3745"/>
    <w:rsid w:val="009B3C79"/>
    <w:rsid w:val="009B4821"/>
    <w:rsid w:val="009B4A83"/>
    <w:rsid w:val="009B4BED"/>
    <w:rsid w:val="009B4C24"/>
    <w:rsid w:val="009B545C"/>
    <w:rsid w:val="009B5821"/>
    <w:rsid w:val="009B59B0"/>
    <w:rsid w:val="009B5E51"/>
    <w:rsid w:val="009B616B"/>
    <w:rsid w:val="009B633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7C7"/>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6CF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2EBB"/>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18A7"/>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86A"/>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7A6"/>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802"/>
    <w:rsid w:val="00A33AF7"/>
    <w:rsid w:val="00A33BCC"/>
    <w:rsid w:val="00A33C3D"/>
    <w:rsid w:val="00A33C9E"/>
    <w:rsid w:val="00A34A25"/>
    <w:rsid w:val="00A34FD0"/>
    <w:rsid w:val="00A35735"/>
    <w:rsid w:val="00A35A0B"/>
    <w:rsid w:val="00A35F3B"/>
    <w:rsid w:val="00A362CB"/>
    <w:rsid w:val="00A36694"/>
    <w:rsid w:val="00A369B7"/>
    <w:rsid w:val="00A36A0E"/>
    <w:rsid w:val="00A36DC8"/>
    <w:rsid w:val="00A370C7"/>
    <w:rsid w:val="00A37214"/>
    <w:rsid w:val="00A3747D"/>
    <w:rsid w:val="00A37A59"/>
    <w:rsid w:val="00A37FAB"/>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C39"/>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2ED9"/>
    <w:rsid w:val="00A53831"/>
    <w:rsid w:val="00A544BF"/>
    <w:rsid w:val="00A5498E"/>
    <w:rsid w:val="00A54A61"/>
    <w:rsid w:val="00A54A90"/>
    <w:rsid w:val="00A54B65"/>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DF2"/>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629"/>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A5"/>
    <w:rsid w:val="00A826CD"/>
    <w:rsid w:val="00A8282D"/>
    <w:rsid w:val="00A82C72"/>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6D7"/>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2ED2"/>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9C9"/>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3B8"/>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35E"/>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6B"/>
    <w:rsid w:val="00B3478B"/>
    <w:rsid w:val="00B34886"/>
    <w:rsid w:val="00B3488B"/>
    <w:rsid w:val="00B3511C"/>
    <w:rsid w:val="00B3539A"/>
    <w:rsid w:val="00B354EC"/>
    <w:rsid w:val="00B35620"/>
    <w:rsid w:val="00B35643"/>
    <w:rsid w:val="00B35CB3"/>
    <w:rsid w:val="00B35F8E"/>
    <w:rsid w:val="00B36F42"/>
    <w:rsid w:val="00B37121"/>
    <w:rsid w:val="00B3735A"/>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14"/>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0A7"/>
    <w:rsid w:val="00B5362A"/>
    <w:rsid w:val="00B536A3"/>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52"/>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97F"/>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5B"/>
    <w:rsid w:val="00BA3129"/>
    <w:rsid w:val="00BA380D"/>
    <w:rsid w:val="00BA3974"/>
    <w:rsid w:val="00BA3996"/>
    <w:rsid w:val="00BA3CC9"/>
    <w:rsid w:val="00BA3F29"/>
    <w:rsid w:val="00BA4024"/>
    <w:rsid w:val="00BA40BE"/>
    <w:rsid w:val="00BA48E0"/>
    <w:rsid w:val="00BA4A62"/>
    <w:rsid w:val="00BA4DF9"/>
    <w:rsid w:val="00BA5346"/>
    <w:rsid w:val="00BA54FB"/>
    <w:rsid w:val="00BA5C97"/>
    <w:rsid w:val="00BA5EFB"/>
    <w:rsid w:val="00BA6282"/>
    <w:rsid w:val="00BA659A"/>
    <w:rsid w:val="00BA65A6"/>
    <w:rsid w:val="00BA68C1"/>
    <w:rsid w:val="00BA6CFD"/>
    <w:rsid w:val="00BA7339"/>
    <w:rsid w:val="00BA7423"/>
    <w:rsid w:val="00BA7541"/>
    <w:rsid w:val="00BA7688"/>
    <w:rsid w:val="00BA7A77"/>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035"/>
    <w:rsid w:val="00BB3355"/>
    <w:rsid w:val="00BB365A"/>
    <w:rsid w:val="00BB3BDC"/>
    <w:rsid w:val="00BB3DF1"/>
    <w:rsid w:val="00BB3F2A"/>
    <w:rsid w:val="00BB3F4C"/>
    <w:rsid w:val="00BB3F8F"/>
    <w:rsid w:val="00BB424D"/>
    <w:rsid w:val="00BB4A42"/>
    <w:rsid w:val="00BB5321"/>
    <w:rsid w:val="00BB5363"/>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6D7"/>
    <w:rsid w:val="00BC38B8"/>
    <w:rsid w:val="00BC3CF8"/>
    <w:rsid w:val="00BC3FE8"/>
    <w:rsid w:val="00BC499E"/>
    <w:rsid w:val="00BC591F"/>
    <w:rsid w:val="00BC5BB2"/>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6E95"/>
    <w:rsid w:val="00BE7501"/>
    <w:rsid w:val="00BE78D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33E"/>
    <w:rsid w:val="00C0460F"/>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2A54"/>
    <w:rsid w:val="00C232DD"/>
    <w:rsid w:val="00C23989"/>
    <w:rsid w:val="00C2423A"/>
    <w:rsid w:val="00C24CA2"/>
    <w:rsid w:val="00C24EE5"/>
    <w:rsid w:val="00C24F74"/>
    <w:rsid w:val="00C250CF"/>
    <w:rsid w:val="00C2544D"/>
    <w:rsid w:val="00C25D3A"/>
    <w:rsid w:val="00C263AE"/>
    <w:rsid w:val="00C2660B"/>
    <w:rsid w:val="00C26871"/>
    <w:rsid w:val="00C2695A"/>
    <w:rsid w:val="00C26975"/>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484"/>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592"/>
    <w:rsid w:val="00C42784"/>
    <w:rsid w:val="00C429E1"/>
    <w:rsid w:val="00C43421"/>
    <w:rsid w:val="00C439F0"/>
    <w:rsid w:val="00C43C2B"/>
    <w:rsid w:val="00C43CE7"/>
    <w:rsid w:val="00C44189"/>
    <w:rsid w:val="00C4464F"/>
    <w:rsid w:val="00C446CD"/>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BBD"/>
    <w:rsid w:val="00C64EDC"/>
    <w:rsid w:val="00C658B2"/>
    <w:rsid w:val="00C65D24"/>
    <w:rsid w:val="00C65F58"/>
    <w:rsid w:val="00C66571"/>
    <w:rsid w:val="00C666DB"/>
    <w:rsid w:val="00C667F6"/>
    <w:rsid w:val="00C66B89"/>
    <w:rsid w:val="00C66C34"/>
    <w:rsid w:val="00C67231"/>
    <w:rsid w:val="00C67D53"/>
    <w:rsid w:val="00C7000E"/>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2B3"/>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03A"/>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A90"/>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6C0"/>
    <w:rsid w:val="00C95730"/>
    <w:rsid w:val="00C95962"/>
    <w:rsid w:val="00C95A8A"/>
    <w:rsid w:val="00C95CCD"/>
    <w:rsid w:val="00C95CD4"/>
    <w:rsid w:val="00C966DF"/>
    <w:rsid w:val="00C96A19"/>
    <w:rsid w:val="00C96A36"/>
    <w:rsid w:val="00C96FE0"/>
    <w:rsid w:val="00C973E2"/>
    <w:rsid w:val="00C975B2"/>
    <w:rsid w:val="00C97AF1"/>
    <w:rsid w:val="00CA09AA"/>
    <w:rsid w:val="00CA0BAF"/>
    <w:rsid w:val="00CA114D"/>
    <w:rsid w:val="00CA1225"/>
    <w:rsid w:val="00CA16DB"/>
    <w:rsid w:val="00CA17AD"/>
    <w:rsid w:val="00CA18D2"/>
    <w:rsid w:val="00CA2344"/>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7A9"/>
    <w:rsid w:val="00CB3A9C"/>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AE7"/>
    <w:rsid w:val="00CC3E8C"/>
    <w:rsid w:val="00CC4005"/>
    <w:rsid w:val="00CC400F"/>
    <w:rsid w:val="00CC4365"/>
    <w:rsid w:val="00CC4C5E"/>
    <w:rsid w:val="00CC4CCF"/>
    <w:rsid w:val="00CC4F58"/>
    <w:rsid w:val="00CC501E"/>
    <w:rsid w:val="00CC50DE"/>
    <w:rsid w:val="00CC57AE"/>
    <w:rsid w:val="00CC5DD0"/>
    <w:rsid w:val="00CC606C"/>
    <w:rsid w:val="00CC69E8"/>
    <w:rsid w:val="00CC6B0F"/>
    <w:rsid w:val="00CC6B27"/>
    <w:rsid w:val="00CC6B9F"/>
    <w:rsid w:val="00CC6C99"/>
    <w:rsid w:val="00CC728B"/>
    <w:rsid w:val="00CC7356"/>
    <w:rsid w:val="00CC74D5"/>
    <w:rsid w:val="00CC7772"/>
    <w:rsid w:val="00CC7A6D"/>
    <w:rsid w:val="00CC7BD9"/>
    <w:rsid w:val="00CC7DF3"/>
    <w:rsid w:val="00CC7DF5"/>
    <w:rsid w:val="00CD04B6"/>
    <w:rsid w:val="00CD04FE"/>
    <w:rsid w:val="00CD0740"/>
    <w:rsid w:val="00CD0768"/>
    <w:rsid w:val="00CD0A59"/>
    <w:rsid w:val="00CD11BB"/>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435"/>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1E76"/>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86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5EC"/>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CC6"/>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8E2"/>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1D8"/>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4D47"/>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2D31"/>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D44"/>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5ED"/>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729"/>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C01"/>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7F3"/>
    <w:rsid w:val="00DF7C0A"/>
    <w:rsid w:val="00E00018"/>
    <w:rsid w:val="00E004D1"/>
    <w:rsid w:val="00E00A07"/>
    <w:rsid w:val="00E00DFE"/>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C8A"/>
    <w:rsid w:val="00E12DAD"/>
    <w:rsid w:val="00E13162"/>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33"/>
    <w:rsid w:val="00E17F6A"/>
    <w:rsid w:val="00E20008"/>
    <w:rsid w:val="00E202F9"/>
    <w:rsid w:val="00E2038B"/>
    <w:rsid w:val="00E203C4"/>
    <w:rsid w:val="00E20661"/>
    <w:rsid w:val="00E20775"/>
    <w:rsid w:val="00E20862"/>
    <w:rsid w:val="00E20AA9"/>
    <w:rsid w:val="00E20AD1"/>
    <w:rsid w:val="00E20B2D"/>
    <w:rsid w:val="00E20CC8"/>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C19"/>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588"/>
    <w:rsid w:val="00E34F08"/>
    <w:rsid w:val="00E355A7"/>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DD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8A3"/>
    <w:rsid w:val="00E75AD0"/>
    <w:rsid w:val="00E75F9B"/>
    <w:rsid w:val="00E76141"/>
    <w:rsid w:val="00E76270"/>
    <w:rsid w:val="00E76316"/>
    <w:rsid w:val="00E76ED7"/>
    <w:rsid w:val="00E77040"/>
    <w:rsid w:val="00E773D4"/>
    <w:rsid w:val="00E77640"/>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C6C"/>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55F"/>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2C"/>
    <w:rsid w:val="00EB077E"/>
    <w:rsid w:val="00EB16A8"/>
    <w:rsid w:val="00EB1705"/>
    <w:rsid w:val="00EB1A94"/>
    <w:rsid w:val="00EB2435"/>
    <w:rsid w:val="00EB269A"/>
    <w:rsid w:val="00EB2B2A"/>
    <w:rsid w:val="00EB3198"/>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000"/>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6C77"/>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B15"/>
    <w:rsid w:val="00EE7D91"/>
    <w:rsid w:val="00EE7DBD"/>
    <w:rsid w:val="00EE7ECE"/>
    <w:rsid w:val="00EF0225"/>
    <w:rsid w:val="00EF05A6"/>
    <w:rsid w:val="00EF082A"/>
    <w:rsid w:val="00EF0E50"/>
    <w:rsid w:val="00EF118F"/>
    <w:rsid w:val="00EF1287"/>
    <w:rsid w:val="00EF1333"/>
    <w:rsid w:val="00EF20FD"/>
    <w:rsid w:val="00EF26D9"/>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1B3"/>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7DD"/>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DBF"/>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0C0B"/>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52A"/>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3F60"/>
    <w:rsid w:val="00F74059"/>
    <w:rsid w:val="00F74609"/>
    <w:rsid w:val="00F74664"/>
    <w:rsid w:val="00F74791"/>
    <w:rsid w:val="00F74A7A"/>
    <w:rsid w:val="00F74CEF"/>
    <w:rsid w:val="00F74D26"/>
    <w:rsid w:val="00F74DCD"/>
    <w:rsid w:val="00F74E5A"/>
    <w:rsid w:val="00F7564B"/>
    <w:rsid w:val="00F75F9D"/>
    <w:rsid w:val="00F76337"/>
    <w:rsid w:val="00F763DF"/>
    <w:rsid w:val="00F766F0"/>
    <w:rsid w:val="00F76B74"/>
    <w:rsid w:val="00F7711B"/>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C31"/>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78"/>
    <w:rsid w:val="00FA6686"/>
    <w:rsid w:val="00FA6807"/>
    <w:rsid w:val="00FA6A4D"/>
    <w:rsid w:val="00FA6A8C"/>
    <w:rsid w:val="00FA6BCC"/>
    <w:rsid w:val="00FA6BD0"/>
    <w:rsid w:val="00FA6C40"/>
    <w:rsid w:val="00FA70DF"/>
    <w:rsid w:val="00FA7152"/>
    <w:rsid w:val="00FA7A20"/>
    <w:rsid w:val="00FA7AA6"/>
    <w:rsid w:val="00FA7C04"/>
    <w:rsid w:val="00FB036E"/>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C04"/>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E96"/>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6D2"/>
    <w:rsid w:val="00FE2955"/>
    <w:rsid w:val="00FE2B7B"/>
    <w:rsid w:val="00FE3100"/>
    <w:rsid w:val="00FE3439"/>
    <w:rsid w:val="00FE3768"/>
    <w:rsid w:val="00FE4705"/>
    <w:rsid w:val="00FE4BA6"/>
    <w:rsid w:val="00FE5172"/>
    <w:rsid w:val="00FE5410"/>
    <w:rsid w:val="00FE5977"/>
    <w:rsid w:val="00FE5D0A"/>
    <w:rsid w:val="00FE627C"/>
    <w:rsid w:val="00FE6798"/>
    <w:rsid w:val="00FE6AD3"/>
    <w:rsid w:val="00FE6DEC"/>
    <w:rsid w:val="00FE74E2"/>
    <w:rsid w:val="00FE74FC"/>
    <w:rsid w:val="00FE761D"/>
    <w:rsid w:val="00FE76FA"/>
    <w:rsid w:val="00FE7C3E"/>
    <w:rsid w:val="00FE7ED9"/>
    <w:rsid w:val="00FE7F00"/>
    <w:rsid w:val="00FF01A6"/>
    <w:rsid w:val="00FF01C5"/>
    <w:rsid w:val="00FF0224"/>
    <w:rsid w:val="00FF0502"/>
    <w:rsid w:val="00FF0BBB"/>
    <w:rsid w:val="00FF0D8F"/>
    <w:rsid w:val="00FF1455"/>
    <w:rsid w:val="00FF1716"/>
    <w:rsid w:val="00FF1862"/>
    <w:rsid w:val="00FF1A6C"/>
    <w:rsid w:val="00FF1D5F"/>
    <w:rsid w:val="00FF1EC2"/>
    <w:rsid w:val="00FF2077"/>
    <w:rsid w:val="00FF283C"/>
    <w:rsid w:val="00FF2A88"/>
    <w:rsid w:val="00FF37C5"/>
    <w:rsid w:val="00FF3A12"/>
    <w:rsid w:val="00FF3CFC"/>
    <w:rsid w:val="00FF3D7B"/>
    <w:rsid w:val="00FF43AF"/>
    <w:rsid w:val="00FF4448"/>
    <w:rsid w:val="00FF48E0"/>
    <w:rsid w:val="00FF4D22"/>
    <w:rsid w:val="00FF4D81"/>
    <w:rsid w:val="00FF4FCD"/>
    <w:rsid w:val="00FF5026"/>
    <w:rsid w:val="00FF5173"/>
    <w:rsid w:val="00FF51D0"/>
    <w:rsid w:val="00FF5250"/>
    <w:rsid w:val="00FF52CC"/>
    <w:rsid w:val="00FF52E3"/>
    <w:rsid w:val="00FF5428"/>
    <w:rsid w:val="00FF5B07"/>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qFormat/>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qFormat/>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paragraph" w:customStyle="1" w:styleId="a2">
    <w:name w:val="样式 (中文) 宋体 两端对齐"/>
    <w:basedOn w:val="Normal"/>
    <w:rsid w:val="005B7B4E"/>
    <w:pPr>
      <w:spacing w:before="0" w:after="180"/>
      <w:jc w:val="both"/>
    </w:pPr>
    <w:rPr>
      <w:rFonts w:cs="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3954080">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267763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356086">
      <w:bodyDiv w:val="1"/>
      <w:marLeft w:val="0"/>
      <w:marRight w:val="0"/>
      <w:marTop w:val="0"/>
      <w:marBottom w:val="0"/>
      <w:divBdr>
        <w:top w:val="none" w:sz="0" w:space="0" w:color="auto"/>
        <w:left w:val="none" w:sz="0" w:space="0" w:color="auto"/>
        <w:bottom w:val="none" w:sz="0" w:space="0" w:color="auto"/>
        <w:right w:val="none" w:sz="0" w:space="0" w:color="auto"/>
      </w:divBdr>
      <w:divsChild>
        <w:div w:id="233197865">
          <w:marLeft w:val="446"/>
          <w:marRight w:val="0"/>
          <w:marTop w:val="0"/>
          <w:marBottom w:val="0"/>
          <w:divBdr>
            <w:top w:val="none" w:sz="0" w:space="0" w:color="auto"/>
            <w:left w:val="none" w:sz="0" w:space="0" w:color="auto"/>
            <w:bottom w:val="none" w:sz="0" w:space="0" w:color="auto"/>
            <w:right w:val="none" w:sz="0" w:space="0" w:color="auto"/>
          </w:divBdr>
        </w:div>
        <w:div w:id="114181772">
          <w:marLeft w:val="1166"/>
          <w:marRight w:val="0"/>
          <w:marTop w:val="0"/>
          <w:marBottom w:val="0"/>
          <w:divBdr>
            <w:top w:val="none" w:sz="0" w:space="0" w:color="auto"/>
            <w:left w:val="none" w:sz="0" w:space="0" w:color="auto"/>
            <w:bottom w:val="none" w:sz="0" w:space="0" w:color="auto"/>
            <w:right w:val="none" w:sz="0" w:space="0" w:color="auto"/>
          </w:divBdr>
        </w:div>
        <w:div w:id="1984969144">
          <w:marLeft w:val="1166"/>
          <w:marRight w:val="0"/>
          <w:marTop w:val="0"/>
          <w:marBottom w:val="0"/>
          <w:divBdr>
            <w:top w:val="none" w:sz="0" w:space="0" w:color="auto"/>
            <w:left w:val="none" w:sz="0" w:space="0" w:color="auto"/>
            <w:bottom w:val="none" w:sz="0" w:space="0" w:color="auto"/>
            <w:right w:val="none" w:sz="0" w:space="0" w:color="auto"/>
          </w:divBdr>
        </w:div>
        <w:div w:id="1848012739">
          <w:marLeft w:val="1886"/>
          <w:marRight w:val="0"/>
          <w:marTop w:val="0"/>
          <w:marBottom w:val="0"/>
          <w:divBdr>
            <w:top w:val="none" w:sz="0" w:space="0" w:color="auto"/>
            <w:left w:val="none" w:sz="0" w:space="0" w:color="auto"/>
            <w:bottom w:val="none" w:sz="0" w:space="0" w:color="auto"/>
            <w:right w:val="none" w:sz="0" w:space="0" w:color="auto"/>
          </w:divBdr>
        </w:div>
        <w:div w:id="749543457">
          <w:marLeft w:val="1886"/>
          <w:marRight w:val="0"/>
          <w:marTop w:val="0"/>
          <w:marBottom w:val="0"/>
          <w:divBdr>
            <w:top w:val="none" w:sz="0" w:space="0" w:color="auto"/>
            <w:left w:val="none" w:sz="0" w:space="0" w:color="auto"/>
            <w:bottom w:val="none" w:sz="0" w:space="0" w:color="auto"/>
            <w:right w:val="none" w:sz="0" w:space="0" w:color="auto"/>
          </w:divBdr>
        </w:div>
      </w:divsChild>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58783816">
      <w:bodyDiv w:val="1"/>
      <w:marLeft w:val="0"/>
      <w:marRight w:val="0"/>
      <w:marTop w:val="0"/>
      <w:marBottom w:val="0"/>
      <w:divBdr>
        <w:top w:val="none" w:sz="0" w:space="0" w:color="auto"/>
        <w:left w:val="none" w:sz="0" w:space="0" w:color="auto"/>
        <w:bottom w:val="none" w:sz="0" w:space="0" w:color="auto"/>
        <w:right w:val="none" w:sz="0" w:space="0" w:color="auto"/>
      </w:divBdr>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9324770">
      <w:bodyDiv w:val="1"/>
      <w:marLeft w:val="0"/>
      <w:marRight w:val="0"/>
      <w:marTop w:val="0"/>
      <w:marBottom w:val="0"/>
      <w:divBdr>
        <w:top w:val="none" w:sz="0" w:space="0" w:color="auto"/>
        <w:left w:val="none" w:sz="0" w:space="0" w:color="auto"/>
        <w:bottom w:val="none" w:sz="0" w:space="0" w:color="auto"/>
        <w:right w:val="none" w:sz="0" w:space="0" w:color="auto"/>
      </w:divBdr>
      <w:divsChild>
        <w:div w:id="1398550334">
          <w:marLeft w:val="446"/>
          <w:marRight w:val="0"/>
          <w:marTop w:val="0"/>
          <w:marBottom w:val="0"/>
          <w:divBdr>
            <w:top w:val="none" w:sz="0" w:space="0" w:color="auto"/>
            <w:left w:val="none" w:sz="0" w:space="0" w:color="auto"/>
            <w:bottom w:val="none" w:sz="0" w:space="0" w:color="auto"/>
            <w:right w:val="none" w:sz="0" w:space="0" w:color="auto"/>
          </w:divBdr>
        </w:div>
        <w:div w:id="788090526">
          <w:marLeft w:val="446"/>
          <w:marRight w:val="0"/>
          <w:marTop w:val="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9633431">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44049460">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076966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83157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1928596">
      <w:bodyDiv w:val="1"/>
      <w:marLeft w:val="0"/>
      <w:marRight w:val="0"/>
      <w:marTop w:val="0"/>
      <w:marBottom w:val="0"/>
      <w:divBdr>
        <w:top w:val="none" w:sz="0" w:space="0" w:color="auto"/>
        <w:left w:val="none" w:sz="0" w:space="0" w:color="auto"/>
        <w:bottom w:val="none" w:sz="0" w:space="0" w:color="auto"/>
        <w:right w:val="none" w:sz="0" w:space="0" w:color="auto"/>
      </w:divBdr>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6926248">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5747160">
      <w:bodyDiv w:val="1"/>
      <w:marLeft w:val="0"/>
      <w:marRight w:val="0"/>
      <w:marTop w:val="0"/>
      <w:marBottom w:val="0"/>
      <w:divBdr>
        <w:top w:val="none" w:sz="0" w:space="0" w:color="auto"/>
        <w:left w:val="none" w:sz="0" w:space="0" w:color="auto"/>
        <w:bottom w:val="none" w:sz="0" w:space="0" w:color="auto"/>
        <w:right w:val="none" w:sz="0" w:space="0" w:color="auto"/>
      </w:divBdr>
    </w:div>
    <w:div w:id="15972077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19842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1285690">
      <w:bodyDiv w:val="1"/>
      <w:marLeft w:val="0"/>
      <w:marRight w:val="0"/>
      <w:marTop w:val="0"/>
      <w:marBottom w:val="0"/>
      <w:divBdr>
        <w:top w:val="none" w:sz="0" w:space="0" w:color="auto"/>
        <w:left w:val="none" w:sz="0" w:space="0" w:color="auto"/>
        <w:bottom w:val="none" w:sz="0" w:space="0" w:color="auto"/>
        <w:right w:val="none" w:sz="0" w:space="0" w:color="auto"/>
      </w:divBdr>
      <w:divsChild>
        <w:div w:id="255871693">
          <w:marLeft w:val="446"/>
          <w:marRight w:val="0"/>
          <w:marTop w:val="0"/>
          <w:marBottom w:val="0"/>
          <w:divBdr>
            <w:top w:val="none" w:sz="0" w:space="0" w:color="auto"/>
            <w:left w:val="none" w:sz="0" w:space="0" w:color="auto"/>
            <w:bottom w:val="none" w:sz="0" w:space="0" w:color="auto"/>
            <w:right w:val="none" w:sz="0" w:space="0" w:color="auto"/>
          </w:divBdr>
        </w:div>
        <w:div w:id="343286704">
          <w:marLeft w:val="1166"/>
          <w:marRight w:val="0"/>
          <w:marTop w:val="0"/>
          <w:marBottom w:val="0"/>
          <w:divBdr>
            <w:top w:val="none" w:sz="0" w:space="0" w:color="auto"/>
            <w:left w:val="none" w:sz="0" w:space="0" w:color="auto"/>
            <w:bottom w:val="none" w:sz="0" w:space="0" w:color="auto"/>
            <w:right w:val="none" w:sz="0" w:space="0" w:color="auto"/>
          </w:divBdr>
        </w:div>
        <w:div w:id="1434207999">
          <w:marLeft w:val="1166"/>
          <w:marRight w:val="0"/>
          <w:marTop w:val="0"/>
          <w:marBottom w:val="0"/>
          <w:divBdr>
            <w:top w:val="none" w:sz="0" w:space="0" w:color="auto"/>
            <w:left w:val="none" w:sz="0" w:space="0" w:color="auto"/>
            <w:bottom w:val="none" w:sz="0" w:space="0" w:color="auto"/>
            <w:right w:val="none" w:sz="0" w:space="0" w:color="auto"/>
          </w:divBdr>
        </w:div>
        <w:div w:id="305669834">
          <w:marLeft w:val="1166"/>
          <w:marRight w:val="0"/>
          <w:marTop w:val="0"/>
          <w:marBottom w:val="0"/>
          <w:divBdr>
            <w:top w:val="none" w:sz="0" w:space="0" w:color="auto"/>
            <w:left w:val="none" w:sz="0" w:space="0" w:color="auto"/>
            <w:bottom w:val="none" w:sz="0" w:space="0" w:color="auto"/>
            <w:right w:val="none" w:sz="0" w:space="0" w:color="auto"/>
          </w:divBdr>
        </w:div>
        <w:div w:id="1777559255">
          <w:marLeft w:val="446"/>
          <w:marRight w:val="0"/>
          <w:marTop w:val="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876287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864085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2068907">
      <w:bodyDiv w:val="1"/>
      <w:marLeft w:val="0"/>
      <w:marRight w:val="0"/>
      <w:marTop w:val="0"/>
      <w:marBottom w:val="0"/>
      <w:divBdr>
        <w:top w:val="none" w:sz="0" w:space="0" w:color="auto"/>
        <w:left w:val="none" w:sz="0" w:space="0" w:color="auto"/>
        <w:bottom w:val="none" w:sz="0" w:space="0" w:color="auto"/>
        <w:right w:val="none" w:sz="0" w:space="0" w:color="auto"/>
      </w:divBdr>
      <w:divsChild>
        <w:div w:id="380791460">
          <w:marLeft w:val="446"/>
          <w:marRight w:val="0"/>
          <w:marTop w:val="0"/>
          <w:marBottom w:val="0"/>
          <w:divBdr>
            <w:top w:val="none" w:sz="0" w:space="0" w:color="auto"/>
            <w:left w:val="none" w:sz="0" w:space="0" w:color="auto"/>
            <w:bottom w:val="none" w:sz="0" w:space="0" w:color="auto"/>
            <w:right w:val="none" w:sz="0" w:space="0" w:color="auto"/>
          </w:divBdr>
        </w:div>
        <w:div w:id="1856311213">
          <w:marLeft w:val="1166"/>
          <w:marRight w:val="0"/>
          <w:marTop w:val="0"/>
          <w:marBottom w:val="0"/>
          <w:divBdr>
            <w:top w:val="none" w:sz="0" w:space="0" w:color="auto"/>
            <w:left w:val="none" w:sz="0" w:space="0" w:color="auto"/>
            <w:bottom w:val="none" w:sz="0" w:space="0" w:color="auto"/>
            <w:right w:val="none" w:sz="0" w:space="0" w:color="auto"/>
          </w:divBdr>
        </w:div>
        <w:div w:id="1472821399">
          <w:marLeft w:val="1166"/>
          <w:marRight w:val="0"/>
          <w:marTop w:val="0"/>
          <w:marBottom w:val="0"/>
          <w:divBdr>
            <w:top w:val="none" w:sz="0" w:space="0" w:color="auto"/>
            <w:left w:val="none" w:sz="0" w:space="0" w:color="auto"/>
            <w:bottom w:val="none" w:sz="0" w:space="0" w:color="auto"/>
            <w:right w:val="none" w:sz="0" w:space="0" w:color="auto"/>
          </w:divBdr>
        </w:div>
        <w:div w:id="1204754127">
          <w:marLeft w:val="1886"/>
          <w:marRight w:val="0"/>
          <w:marTop w:val="0"/>
          <w:marBottom w:val="0"/>
          <w:divBdr>
            <w:top w:val="none" w:sz="0" w:space="0" w:color="auto"/>
            <w:left w:val="none" w:sz="0" w:space="0" w:color="auto"/>
            <w:bottom w:val="none" w:sz="0" w:space="0" w:color="auto"/>
            <w:right w:val="none" w:sz="0" w:space="0" w:color="auto"/>
          </w:divBdr>
        </w:div>
        <w:div w:id="88239769">
          <w:marLeft w:val="1886"/>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58824">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E4A71B5-8E02-477F-AC0E-B9FAA4B937A8}">
  <ds:schemaRefs>
    <ds:schemaRef ds:uri="http://schemas.openxmlformats.org/officeDocument/2006/bibliography"/>
  </ds:schemaRefs>
</ds:datastoreItem>
</file>

<file path=customXml/itemProps5.xml><?xml version="1.0" encoding="utf-8"?>
<ds:datastoreItem xmlns:ds="http://schemas.openxmlformats.org/officeDocument/2006/customXml" ds:itemID="{B7409B58-514E-4FE9-9C4F-F9D8851F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1663</TotalTime>
  <Pages>5</Pages>
  <Words>2653</Words>
  <Characters>14330</Characters>
  <Application>Microsoft Office Word</Application>
  <DocSecurity>0</DocSecurity>
  <Lines>212</Lines>
  <Paragraphs>104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108</cp:revision>
  <cp:lastPrinted>2016-03-30T01:01:00Z</cp:lastPrinted>
  <dcterms:created xsi:type="dcterms:W3CDTF">2019-03-27T02:41:00Z</dcterms:created>
  <dcterms:modified xsi:type="dcterms:W3CDTF">2019-03-29T09:37:00Z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09348329-4671-423e-8aa3-136b0b59cbae</vt:lpwstr>
  </property>
  <property fmtid="{D5CDD505-2E9C-101B-9397-08002B2CF9AE}" pid="4" name="CTP_TimeStamp">
    <vt:lpwstr>2019-03-29 09:37:03Z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